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24" w:rsidRPr="00DC088F" w:rsidRDefault="00DC088F" w:rsidP="00DC088F">
      <w:pPr>
        <w:jc w:val="center"/>
        <w:rPr>
          <w:rFonts w:asciiTheme="majorHAnsi" w:hAnsiTheme="majorHAnsi"/>
          <w:b/>
          <w:sz w:val="28"/>
          <w:szCs w:val="28"/>
        </w:rPr>
      </w:pPr>
      <w:r w:rsidRPr="00DC088F">
        <w:rPr>
          <w:rFonts w:asciiTheme="majorHAnsi" w:hAnsiTheme="majorHAnsi"/>
          <w:b/>
          <w:sz w:val="28"/>
          <w:szCs w:val="28"/>
        </w:rPr>
        <w:t>Updates to the 2012-2014 Strategic and Program/Service Area Plans</w:t>
      </w:r>
    </w:p>
    <w:p w:rsidR="00DC088F" w:rsidRDefault="00DC088F">
      <w:r>
        <w:t xml:space="preserve">Agencies are to update 2012-2014 Strategic and Program/Service Area Plans to reflect changes enacted by the 2013 Session of the General Assembly by </w:t>
      </w:r>
      <w:r w:rsidR="004745A6">
        <w:rPr>
          <w:b/>
        </w:rPr>
        <w:t>May 31</w:t>
      </w:r>
      <w:r w:rsidRPr="00214FBF">
        <w:rPr>
          <w:b/>
        </w:rPr>
        <w:t>, 2013</w:t>
      </w:r>
      <w:r>
        <w:t xml:space="preserve">.  </w:t>
      </w:r>
      <w:r w:rsidR="00872FA4">
        <w:t xml:space="preserve">Agencies should ensure that plans reflect current/actual services and capabilities.  </w:t>
      </w:r>
      <w:r>
        <w:t>Upon completion and publishing of these updates, agencies will begin work to update Executive Progress Reports.  A tentative calendar of all performance management related activities for the remainder</w:t>
      </w:r>
      <w:r w:rsidR="002217BE">
        <w:t xml:space="preserve"> of the 2012-2014 </w:t>
      </w:r>
      <w:r>
        <w:t xml:space="preserve">biennium is listed below.  </w:t>
      </w:r>
    </w:p>
    <w:p w:rsidR="00E15709" w:rsidRPr="00DC088F" w:rsidRDefault="00E15709">
      <w:pPr>
        <w:rPr>
          <w:b/>
        </w:rPr>
      </w:pPr>
      <w:r>
        <w:t>The Department of Planning and Bud</w:t>
      </w:r>
      <w:r w:rsidR="00D11489">
        <w:t>get (DPB) will hold two webinar</w:t>
      </w:r>
      <w:r>
        <w:t>s to address any policy or technical issu</w:t>
      </w:r>
      <w:r w:rsidRPr="003C4355">
        <w:t xml:space="preserve">es.  These webinars will be held at 2:00 p.m. on </w:t>
      </w:r>
      <w:r w:rsidR="00232CA6" w:rsidRPr="003C4355">
        <w:t>Wednesday, May 8</w:t>
      </w:r>
      <w:r w:rsidRPr="003C4355">
        <w:t xml:space="preserve"> and </w:t>
      </w:r>
      <w:r w:rsidR="00232CA6" w:rsidRPr="003C4355">
        <w:t>Wednesday, May 22</w:t>
      </w:r>
      <w:r w:rsidRPr="003C4355">
        <w:t xml:space="preserve">.  Webinar dial-in information </w:t>
      </w:r>
      <w:r w:rsidR="002F60ED" w:rsidRPr="003C4355">
        <w:t xml:space="preserve">will be sent via separate message closer to the </w:t>
      </w:r>
      <w:r w:rsidR="003C4355">
        <w:t>actual Webinar</w:t>
      </w:r>
      <w:r w:rsidR="002F60ED" w:rsidRPr="003C4355">
        <w:t>.</w:t>
      </w:r>
    </w:p>
    <w:tbl>
      <w:tblPr>
        <w:tblStyle w:val="TableGrid"/>
        <w:tblW w:w="0" w:type="auto"/>
        <w:jc w:val="center"/>
        <w:tblLook w:val="04A0"/>
      </w:tblPr>
      <w:tblGrid>
        <w:gridCol w:w="4788"/>
        <w:gridCol w:w="2250"/>
      </w:tblGrid>
      <w:tr w:rsidR="00DC088F" w:rsidRPr="00214FBF" w:rsidTr="00DC088F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:rsidR="00DC088F" w:rsidRPr="00214FBF" w:rsidRDefault="00DC088F">
            <w:pPr>
              <w:rPr>
                <w:rFonts w:asciiTheme="majorHAnsi" w:hAnsiTheme="majorHAnsi"/>
                <w:b/>
              </w:rPr>
            </w:pPr>
            <w:r w:rsidRPr="00214FBF">
              <w:rPr>
                <w:rFonts w:asciiTheme="majorHAnsi" w:hAnsiTheme="majorHAnsi"/>
                <w:b/>
              </w:rPr>
              <w:t>Event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DC088F" w:rsidRPr="00214FBF" w:rsidRDefault="00DC088F">
            <w:pPr>
              <w:rPr>
                <w:rFonts w:asciiTheme="majorHAnsi" w:hAnsiTheme="majorHAnsi"/>
                <w:b/>
              </w:rPr>
            </w:pPr>
            <w:r w:rsidRPr="00214FBF">
              <w:rPr>
                <w:rFonts w:asciiTheme="majorHAnsi" w:hAnsiTheme="majorHAnsi"/>
                <w:b/>
              </w:rPr>
              <w:t>Tentative Due Date</w:t>
            </w:r>
          </w:p>
        </w:tc>
      </w:tr>
      <w:tr w:rsidR="00DC088F" w:rsidTr="00DC088F">
        <w:trPr>
          <w:jc w:val="center"/>
        </w:trPr>
        <w:tc>
          <w:tcPr>
            <w:tcW w:w="4788" w:type="dxa"/>
          </w:tcPr>
          <w:p w:rsidR="00DC088F" w:rsidRDefault="00DC088F" w:rsidP="00DD4335">
            <w:r>
              <w:t xml:space="preserve">Update 2012-2014 Strategic and Program/Service Area plans </w:t>
            </w:r>
            <w:r w:rsidR="00DD4335">
              <w:t>to reflect</w:t>
            </w:r>
            <w:r>
              <w:t xml:space="preserve"> 2013 Session of the General Assembly</w:t>
            </w:r>
          </w:p>
        </w:tc>
        <w:tc>
          <w:tcPr>
            <w:tcW w:w="2250" w:type="dxa"/>
          </w:tcPr>
          <w:p w:rsidR="00DC088F" w:rsidRDefault="004745A6">
            <w:r>
              <w:t>May 31</w:t>
            </w:r>
            <w:r w:rsidR="00DC088F">
              <w:t>, 2013</w:t>
            </w:r>
          </w:p>
        </w:tc>
      </w:tr>
      <w:tr w:rsidR="00D11489" w:rsidTr="00D11489">
        <w:trPr>
          <w:jc w:val="center"/>
        </w:trPr>
        <w:tc>
          <w:tcPr>
            <w:tcW w:w="4788" w:type="dxa"/>
          </w:tcPr>
          <w:p w:rsidR="00D11489" w:rsidRDefault="00D11489" w:rsidP="00D11489">
            <w:r>
              <w:t>Report Q4 and annual measure results for FY 2013</w:t>
            </w:r>
          </w:p>
        </w:tc>
        <w:tc>
          <w:tcPr>
            <w:tcW w:w="2250" w:type="dxa"/>
          </w:tcPr>
          <w:p w:rsidR="00D11489" w:rsidRDefault="00D11489" w:rsidP="00D11489">
            <w:r>
              <w:t>August 15, 2013</w:t>
            </w:r>
          </w:p>
        </w:tc>
      </w:tr>
      <w:tr w:rsidR="00DC088F" w:rsidTr="00DC088F">
        <w:trPr>
          <w:jc w:val="center"/>
        </w:trPr>
        <w:tc>
          <w:tcPr>
            <w:tcW w:w="4788" w:type="dxa"/>
          </w:tcPr>
          <w:p w:rsidR="00DC088F" w:rsidRDefault="00DC088F">
            <w:r>
              <w:t>Update Executive Progress Reports</w:t>
            </w:r>
          </w:p>
        </w:tc>
        <w:tc>
          <w:tcPr>
            <w:tcW w:w="2250" w:type="dxa"/>
          </w:tcPr>
          <w:p w:rsidR="00DC088F" w:rsidRDefault="00DC088F">
            <w:r>
              <w:t>August 16, 2013</w:t>
            </w:r>
          </w:p>
        </w:tc>
      </w:tr>
      <w:tr w:rsidR="00DC088F" w:rsidTr="00DC088F">
        <w:trPr>
          <w:jc w:val="center"/>
        </w:trPr>
        <w:tc>
          <w:tcPr>
            <w:tcW w:w="4788" w:type="dxa"/>
          </w:tcPr>
          <w:p w:rsidR="00DC088F" w:rsidRDefault="00DC088F" w:rsidP="00DD4335">
            <w:r>
              <w:t xml:space="preserve">Create 2014-2016 Strategic and Program/Service Area </w:t>
            </w:r>
            <w:r w:rsidR="00DD4335">
              <w:t>p</w:t>
            </w:r>
            <w:r>
              <w:t>lans</w:t>
            </w:r>
          </w:p>
        </w:tc>
        <w:tc>
          <w:tcPr>
            <w:tcW w:w="2250" w:type="dxa"/>
          </w:tcPr>
          <w:p w:rsidR="00DC088F" w:rsidRDefault="00DC088F">
            <w:r>
              <w:t>Spring 2014</w:t>
            </w:r>
          </w:p>
        </w:tc>
      </w:tr>
    </w:tbl>
    <w:p w:rsidR="004745A6" w:rsidRPr="004745A6" w:rsidRDefault="004745A6">
      <w:pPr>
        <w:rPr>
          <w:rFonts w:asciiTheme="majorHAnsi" w:hAnsiTheme="majorHAnsi"/>
          <w:b/>
          <w:sz w:val="16"/>
          <w:szCs w:val="16"/>
        </w:rPr>
      </w:pPr>
    </w:p>
    <w:p w:rsidR="00DC088F" w:rsidRDefault="00FD24A7">
      <w:pPr>
        <w:rPr>
          <w:rFonts w:asciiTheme="majorHAnsi" w:hAnsiTheme="majorHAnsi"/>
          <w:b/>
          <w:sz w:val="28"/>
          <w:szCs w:val="28"/>
        </w:rPr>
      </w:pPr>
      <w:r w:rsidRPr="00540850">
        <w:rPr>
          <w:rFonts w:asciiTheme="majorHAnsi" w:hAnsiTheme="majorHAnsi"/>
          <w:b/>
          <w:sz w:val="28"/>
          <w:szCs w:val="28"/>
        </w:rPr>
        <w:t>C</w:t>
      </w:r>
      <w:r w:rsidR="00214FBF" w:rsidRPr="00540850">
        <w:rPr>
          <w:rFonts w:asciiTheme="majorHAnsi" w:hAnsiTheme="majorHAnsi"/>
          <w:b/>
          <w:sz w:val="28"/>
          <w:szCs w:val="28"/>
        </w:rPr>
        <w:t>ha</w:t>
      </w:r>
      <w:r w:rsidRPr="00540850">
        <w:rPr>
          <w:rFonts w:asciiTheme="majorHAnsi" w:hAnsiTheme="majorHAnsi"/>
          <w:b/>
          <w:sz w:val="28"/>
          <w:szCs w:val="28"/>
        </w:rPr>
        <w:t>nges/updates at</w:t>
      </w:r>
      <w:r w:rsidR="00214FBF" w:rsidRPr="00540850">
        <w:rPr>
          <w:rFonts w:asciiTheme="majorHAnsi" w:hAnsiTheme="majorHAnsi"/>
          <w:b/>
          <w:sz w:val="28"/>
          <w:szCs w:val="28"/>
        </w:rPr>
        <w:t xml:space="preserve"> mid-biennium</w:t>
      </w:r>
    </w:p>
    <w:p w:rsidR="00510173" w:rsidRDefault="00510173">
      <w:r>
        <w:t>Agencies are permitted to update all aspects of their agency strategic plan and program/service area plans to reflect current services</w:t>
      </w:r>
      <w:r w:rsidR="00D11489">
        <w:t>, primarily</w:t>
      </w:r>
      <w:r>
        <w:t xml:space="preserve"> actions taken by the 2013 Gen</w:t>
      </w:r>
      <w:r w:rsidR="00D11489">
        <w:t>eral Assembly.  This is not the opportunity</w:t>
      </w:r>
      <w:r w:rsidR="00232CA6">
        <w:t xml:space="preserve"> for wholesale changes</w:t>
      </w:r>
      <w:r w:rsidR="00D11489">
        <w:t xml:space="preserve"> to your plan</w:t>
      </w:r>
      <w:r w:rsidR="00232CA6">
        <w:t xml:space="preserve"> or</w:t>
      </w:r>
      <w:r>
        <w:t xml:space="preserve"> to address</w:t>
      </w:r>
      <w:r w:rsidR="00D11489">
        <w:t xml:space="preserve"> any</w:t>
      </w:r>
      <w:r>
        <w:t xml:space="preserve"> underperforming areas.  Agencies will have the opportunity to re-evaluate performance in Spring 2014 with the develop</w:t>
      </w:r>
      <w:r w:rsidR="00DD4335">
        <w:t>ment of the 2014-2016 biennial Strategic and Program/Service A</w:t>
      </w:r>
      <w:r>
        <w:t xml:space="preserve">rea </w:t>
      </w:r>
      <w:r w:rsidR="00DD4335">
        <w:t>P</w:t>
      </w:r>
      <w:r>
        <w:t>lans.</w:t>
      </w:r>
      <w:r w:rsidR="00D33AC5">
        <w:t xml:space="preserve">  </w:t>
      </w:r>
    </w:p>
    <w:p w:rsidR="00510173" w:rsidRPr="00510173" w:rsidRDefault="00510173">
      <w:r>
        <w:t xml:space="preserve">Provided below are some of the </w:t>
      </w:r>
      <w:r w:rsidR="00D11489">
        <w:t>primary</w:t>
      </w:r>
      <w:r>
        <w:t xml:space="preserve"> areas agencies should assess when performing this u</w:t>
      </w:r>
      <w:r w:rsidR="00232CA6">
        <w:t>pdate:</w:t>
      </w:r>
    </w:p>
    <w:tbl>
      <w:tblPr>
        <w:tblStyle w:val="LightShading"/>
        <w:tblW w:w="0" w:type="auto"/>
        <w:tblLook w:val="06A0"/>
      </w:tblPr>
      <w:tblGrid>
        <w:gridCol w:w="9576"/>
      </w:tblGrid>
      <w:tr w:rsidR="00E15709" w:rsidRPr="00E15709" w:rsidTr="00540850">
        <w:trPr>
          <w:cnfStyle w:val="100000000000"/>
        </w:trPr>
        <w:tc>
          <w:tcPr>
            <w:cnfStyle w:val="001000000000"/>
            <w:tcW w:w="9576" w:type="dxa"/>
            <w:shd w:val="clear" w:color="auto" w:fill="D9D9D9" w:themeFill="background1" w:themeFillShade="D9"/>
          </w:tcPr>
          <w:p w:rsidR="00E15709" w:rsidRPr="00540850" w:rsidRDefault="00E15709" w:rsidP="00C8524E">
            <w:pPr>
              <w:rPr>
                <w:rFonts w:asciiTheme="majorHAnsi" w:hAnsiTheme="majorHAnsi"/>
                <w:i/>
              </w:rPr>
            </w:pPr>
            <w:r w:rsidRPr="00540850">
              <w:rPr>
                <w:rFonts w:asciiTheme="majorHAnsi" w:hAnsiTheme="majorHAnsi"/>
                <w:i/>
              </w:rPr>
              <w:t>Financial</w:t>
            </w:r>
            <w:r w:rsidR="00C8524E">
              <w:rPr>
                <w:rFonts w:asciiTheme="majorHAnsi" w:hAnsiTheme="majorHAnsi"/>
                <w:i/>
              </w:rPr>
              <w:t>s</w:t>
            </w:r>
            <w:r w:rsidR="002F5B39">
              <w:rPr>
                <w:rFonts w:asciiTheme="majorHAnsi" w:hAnsiTheme="majorHAnsi"/>
                <w:i/>
              </w:rPr>
              <w:t xml:space="preserve"> – must be updated in the agency strategic plan and in program/service area plans</w:t>
            </w:r>
          </w:p>
        </w:tc>
      </w:tr>
      <w:tr w:rsidR="00E15709" w:rsidRPr="00E15709" w:rsidTr="00540850">
        <w:tc>
          <w:tcPr>
            <w:cnfStyle w:val="001000000000"/>
            <w:tcW w:w="9576" w:type="dxa"/>
          </w:tcPr>
          <w:p w:rsidR="00E15709" w:rsidRPr="00540850" w:rsidRDefault="00E15709" w:rsidP="00E1570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 w:rsidRPr="00540850">
              <w:rPr>
                <w:b w:val="0"/>
              </w:rPr>
              <w:t xml:space="preserve">You must use the “changes to base budget” to reflect </w:t>
            </w:r>
            <w:r w:rsidRPr="00540850">
              <w:rPr>
                <w:b w:val="0"/>
                <w:u w:val="single"/>
              </w:rPr>
              <w:t>ALL</w:t>
            </w:r>
            <w:r w:rsidRPr="00540850">
              <w:rPr>
                <w:b w:val="0"/>
              </w:rPr>
              <w:t xml:space="preserve"> budgetary actions from the 2013 General Assembly Session.  You must do this in the agency strategic plan </w:t>
            </w:r>
            <w:r w:rsidRPr="00540850">
              <w:rPr>
                <w:b w:val="0"/>
                <w:u w:val="single"/>
              </w:rPr>
              <w:t>and</w:t>
            </w:r>
            <w:r w:rsidRPr="00540850">
              <w:rPr>
                <w:b w:val="0"/>
              </w:rPr>
              <w:t xml:space="preserve"> all program/service area plans. </w:t>
            </w:r>
            <w:r w:rsidR="00D11489">
              <w:rPr>
                <w:b w:val="0"/>
              </w:rPr>
              <w:t xml:space="preserve">Your totals should balance to the new chapter, please contact your DPB budget analyst with any questions/concerns.  </w:t>
            </w:r>
          </w:p>
          <w:p w:rsidR="00E15709" w:rsidRPr="00540850" w:rsidRDefault="00E15709" w:rsidP="00E1570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 w:rsidRPr="00540850">
              <w:rPr>
                <w:b w:val="0"/>
              </w:rPr>
              <w:t xml:space="preserve">Your base budget is locked.  “Changes to base budget” is the only editable </w:t>
            </w:r>
            <w:r w:rsidR="00540850">
              <w:rPr>
                <w:b w:val="0"/>
              </w:rPr>
              <w:t>field in the table</w:t>
            </w:r>
            <w:r w:rsidRPr="00540850">
              <w:rPr>
                <w:b w:val="0"/>
              </w:rPr>
              <w:t xml:space="preserve">. </w:t>
            </w:r>
          </w:p>
          <w:p w:rsidR="00540850" w:rsidRPr="00540850" w:rsidRDefault="00540850" w:rsidP="00E1570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>
              <w:rPr>
                <w:b w:val="0"/>
              </w:rPr>
              <w:t xml:space="preserve">You should update narrative </w:t>
            </w:r>
            <w:r w:rsidR="00C8524E">
              <w:rPr>
                <w:b w:val="0"/>
              </w:rPr>
              <w:t>to accurately reflect your current budget</w:t>
            </w:r>
            <w:r>
              <w:rPr>
                <w:b w:val="0"/>
              </w:rPr>
              <w:t>.</w:t>
            </w:r>
          </w:p>
          <w:p w:rsidR="00520993" w:rsidRPr="00540850" w:rsidRDefault="00520993" w:rsidP="00E1570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 w:rsidRPr="00540850">
              <w:rPr>
                <w:b w:val="0"/>
              </w:rPr>
              <w:t xml:space="preserve">You can use report BD 1.17 to verify your agency’s base budget.  </w:t>
            </w:r>
            <w:r w:rsidR="00881B0A">
              <w:rPr>
                <w:b w:val="0"/>
              </w:rPr>
              <w:t xml:space="preserve">Please note:  You need to change the budget round to “initial bill.” </w:t>
            </w:r>
          </w:p>
          <w:p w:rsidR="00E15709" w:rsidRPr="00540850" w:rsidRDefault="00520993" w:rsidP="00E1570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 w:rsidRPr="00540850">
              <w:rPr>
                <w:b w:val="0"/>
              </w:rPr>
              <w:t>You can use report BD 1.56 to verify base budget details at the service area level.</w:t>
            </w:r>
            <w:r>
              <w:t xml:space="preserve"> </w:t>
            </w:r>
          </w:p>
          <w:p w:rsidR="00540850" w:rsidRPr="00E15709" w:rsidRDefault="00540850" w:rsidP="0054085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>
              <w:rPr>
                <w:b w:val="0"/>
              </w:rPr>
              <w:t xml:space="preserve">You must “save” on the “financials” screen and then “submit for review” via the “strategic plan status” module for these updates to take effect. </w:t>
            </w:r>
          </w:p>
        </w:tc>
      </w:tr>
    </w:tbl>
    <w:p w:rsidR="00E15709" w:rsidRDefault="00E15709" w:rsidP="00511197">
      <w:pPr>
        <w:rPr>
          <w:rFonts w:asciiTheme="majorHAnsi" w:hAnsiTheme="majorHAnsi"/>
          <w:b/>
          <w:i/>
          <w:sz w:val="16"/>
          <w:szCs w:val="16"/>
          <w:vertAlign w:val="superscript"/>
        </w:rPr>
      </w:pPr>
    </w:p>
    <w:p w:rsidR="00232CA6" w:rsidRDefault="00232CA6" w:rsidP="00511197">
      <w:pPr>
        <w:rPr>
          <w:rFonts w:asciiTheme="majorHAnsi" w:hAnsiTheme="majorHAnsi"/>
          <w:b/>
          <w:i/>
          <w:sz w:val="16"/>
          <w:szCs w:val="16"/>
          <w:vertAlign w:val="superscript"/>
        </w:rPr>
      </w:pPr>
    </w:p>
    <w:tbl>
      <w:tblPr>
        <w:tblStyle w:val="LightShading"/>
        <w:tblW w:w="0" w:type="auto"/>
        <w:tblLook w:val="06A0"/>
      </w:tblPr>
      <w:tblGrid>
        <w:gridCol w:w="9576"/>
      </w:tblGrid>
      <w:tr w:rsidR="00540850" w:rsidRPr="00540850" w:rsidTr="00540850">
        <w:trPr>
          <w:cnfStyle w:val="100000000000"/>
        </w:trPr>
        <w:tc>
          <w:tcPr>
            <w:cnfStyle w:val="001000000000"/>
            <w:tcW w:w="9576" w:type="dxa"/>
            <w:shd w:val="clear" w:color="auto" w:fill="D9D9D9" w:themeFill="background1" w:themeFillShade="D9"/>
          </w:tcPr>
          <w:p w:rsidR="00540850" w:rsidRPr="00540850" w:rsidRDefault="00540850" w:rsidP="002F5B39">
            <w:pPr>
              <w:rPr>
                <w:rFonts w:asciiTheme="majorHAnsi" w:hAnsiTheme="majorHAnsi"/>
                <w:i/>
              </w:rPr>
            </w:pPr>
            <w:r w:rsidRPr="00540850">
              <w:rPr>
                <w:rFonts w:asciiTheme="majorHAnsi" w:hAnsiTheme="majorHAnsi"/>
                <w:i/>
              </w:rPr>
              <w:t>Measures</w:t>
            </w:r>
            <w:r w:rsidR="002F5B39">
              <w:rPr>
                <w:rFonts w:asciiTheme="majorHAnsi" w:hAnsiTheme="majorHAnsi"/>
                <w:i/>
              </w:rPr>
              <w:t xml:space="preserve"> – what can be updated?</w:t>
            </w:r>
          </w:p>
        </w:tc>
      </w:tr>
      <w:tr w:rsidR="00540850" w:rsidRPr="00540850" w:rsidTr="00540850">
        <w:tc>
          <w:tcPr>
            <w:cnfStyle w:val="001000000000"/>
            <w:tcW w:w="9576" w:type="dxa"/>
          </w:tcPr>
          <w:p w:rsidR="00540850" w:rsidRPr="00540850" w:rsidRDefault="00540850" w:rsidP="002F5B3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 w:rsidRPr="00540850">
              <w:rPr>
                <w:b w:val="0"/>
              </w:rPr>
              <w:t>Updates</w:t>
            </w:r>
            <w:r w:rsidR="004451E9">
              <w:rPr>
                <w:b w:val="0"/>
              </w:rPr>
              <w:t xml:space="preserve"> </w:t>
            </w:r>
            <w:r w:rsidRPr="00540850">
              <w:rPr>
                <w:b w:val="0"/>
              </w:rPr>
              <w:t>to correct historical measure data.</w:t>
            </w:r>
          </w:p>
        </w:tc>
      </w:tr>
      <w:tr w:rsidR="00540850" w:rsidRPr="00540850" w:rsidTr="00540850">
        <w:tc>
          <w:tcPr>
            <w:cnfStyle w:val="001000000000"/>
            <w:tcW w:w="9576" w:type="dxa"/>
          </w:tcPr>
          <w:p w:rsidR="00540850" w:rsidRPr="00540850" w:rsidRDefault="00540850" w:rsidP="002F5B3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 w:rsidRPr="00540850">
              <w:rPr>
                <w:b w:val="0"/>
              </w:rPr>
              <w:t>Updates to measure titles to more accurately reflect what the measure is measuring.</w:t>
            </w:r>
          </w:p>
        </w:tc>
      </w:tr>
      <w:tr w:rsidR="00540850" w:rsidRPr="00540850" w:rsidTr="00540850">
        <w:tc>
          <w:tcPr>
            <w:cnfStyle w:val="001000000000"/>
            <w:tcW w:w="9576" w:type="dxa"/>
          </w:tcPr>
          <w:p w:rsidR="00540850" w:rsidRPr="00540850" w:rsidRDefault="00540850" w:rsidP="0079057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 w:rsidRPr="00540850">
              <w:rPr>
                <w:b w:val="0"/>
              </w:rPr>
              <w:t>Updates to measure attributes to more accurately reflect what the measure is measuring</w:t>
            </w:r>
            <w:r w:rsidR="00232CA6">
              <w:rPr>
                <w:b w:val="0"/>
              </w:rPr>
              <w:t xml:space="preserve"> (e.g. </w:t>
            </w:r>
            <w:r w:rsidR="00790570">
              <w:rPr>
                <w:b w:val="0"/>
              </w:rPr>
              <w:t>updating your data source and calculation to be more specific)</w:t>
            </w:r>
            <w:r w:rsidRPr="00540850">
              <w:rPr>
                <w:b w:val="0"/>
              </w:rPr>
              <w:t>.</w:t>
            </w:r>
          </w:p>
        </w:tc>
      </w:tr>
      <w:tr w:rsidR="00540850" w:rsidRPr="00540850" w:rsidTr="00540850">
        <w:tc>
          <w:tcPr>
            <w:cnfStyle w:val="001000000000"/>
            <w:tcW w:w="9576" w:type="dxa"/>
          </w:tcPr>
          <w:p w:rsidR="00540850" w:rsidRPr="00540850" w:rsidRDefault="00540850" w:rsidP="0022532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 w:rsidRPr="00540850">
              <w:rPr>
                <w:b w:val="0"/>
              </w:rPr>
              <w:t>The elimination of a measure due to a change in agency business practices or the elimination of a program/service.</w:t>
            </w:r>
            <w:r w:rsidR="00225323">
              <w:rPr>
                <w:b w:val="0"/>
              </w:rPr>
              <w:t xml:space="preserve">  </w:t>
            </w:r>
          </w:p>
        </w:tc>
      </w:tr>
      <w:tr w:rsidR="00540850" w:rsidRPr="00540850" w:rsidTr="00540850">
        <w:tc>
          <w:tcPr>
            <w:cnfStyle w:val="001000000000"/>
            <w:tcW w:w="9576" w:type="dxa"/>
          </w:tcPr>
          <w:p w:rsidR="002F5B39" w:rsidRPr="00225323" w:rsidRDefault="00540850" w:rsidP="002F5B3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40850">
              <w:rPr>
                <w:b w:val="0"/>
              </w:rPr>
              <w:t>The addition of a measure due to a change in agency business practices or the addition of a program/service.</w:t>
            </w:r>
            <w:r w:rsidR="00D11489">
              <w:rPr>
                <w:b w:val="0"/>
              </w:rPr>
              <w:t xml:space="preserve">  Additions will not show up in </w:t>
            </w:r>
            <w:r w:rsidR="00881B0A">
              <w:rPr>
                <w:b w:val="0"/>
              </w:rPr>
              <w:t xml:space="preserve">the drop down list or the EPR until the plan is submitted for review and published by your DPB </w:t>
            </w:r>
            <w:r w:rsidR="00F24468">
              <w:rPr>
                <w:b w:val="0"/>
              </w:rPr>
              <w:t>analyst You</w:t>
            </w:r>
            <w:r w:rsidR="002F5B39">
              <w:rPr>
                <w:b w:val="0"/>
              </w:rPr>
              <w:t xml:space="preserve"> must “load” each individual measure and </w:t>
            </w:r>
            <w:r w:rsidR="00232CA6">
              <w:rPr>
                <w:b w:val="0"/>
              </w:rPr>
              <w:t xml:space="preserve">“save” each individual measure </w:t>
            </w:r>
            <w:r w:rsidR="002F5B39">
              <w:rPr>
                <w:b w:val="0"/>
              </w:rPr>
              <w:t>that you are editing on the “measures” screen</w:t>
            </w:r>
            <w:r w:rsidR="00D11489">
              <w:rPr>
                <w:b w:val="0"/>
              </w:rPr>
              <w:t xml:space="preserve"> within the agency strategic plan or program/service area module</w:t>
            </w:r>
            <w:r w:rsidR="002F5B39">
              <w:rPr>
                <w:b w:val="0"/>
              </w:rPr>
              <w:t xml:space="preserve"> and then “submit for review” via the “strategic plan status” module for these updates to take effect.</w:t>
            </w:r>
          </w:p>
          <w:p w:rsidR="00232CA6" w:rsidRPr="00225323" w:rsidRDefault="00232CA6" w:rsidP="002F5B3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 w:rsidRPr="004745A6">
              <w:rPr>
                <w:b w:val="0"/>
              </w:rPr>
              <w:t>If you have marked a measure for deletion, it will not actually “go away” until the 2014-2016 biennium.  If it is marked for deletion, it will not show up in any public report/Web site.</w:t>
            </w:r>
          </w:p>
          <w:p w:rsidR="00225323" w:rsidRPr="00DD4335" w:rsidRDefault="00225323" w:rsidP="002F5B3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>
              <w:rPr>
                <w:b w:val="0"/>
              </w:rPr>
              <w:t xml:space="preserve">PLEASE NOTE: You must notify your DPB analyst via email of any changes, additions or deletions of measures.  </w:t>
            </w:r>
          </w:p>
          <w:p w:rsidR="00DD4335" w:rsidRPr="00540850" w:rsidRDefault="00DD4335" w:rsidP="002F5B3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>
              <w:rPr>
                <w:b w:val="0"/>
              </w:rPr>
              <w:t xml:space="preserve">PLEASE NOTE:  These changes should </w:t>
            </w:r>
            <w:r w:rsidR="00AC0E17">
              <w:rPr>
                <w:b w:val="0"/>
              </w:rPr>
              <w:t xml:space="preserve">be </w:t>
            </w:r>
            <w:r>
              <w:rPr>
                <w:b w:val="0"/>
              </w:rPr>
              <w:t>made in either the agency strategic plan or the relevant program/service area plan, NOT the measure results module.  The measure results module is for reporting current data results only.</w:t>
            </w:r>
          </w:p>
        </w:tc>
      </w:tr>
    </w:tbl>
    <w:p w:rsidR="002F5B39" w:rsidRDefault="002F5B39" w:rsidP="00511197">
      <w:pPr>
        <w:rPr>
          <w:rFonts w:asciiTheme="majorHAnsi" w:hAnsiTheme="majorHAnsi"/>
          <w:b/>
          <w:i/>
        </w:rPr>
      </w:pPr>
    </w:p>
    <w:tbl>
      <w:tblPr>
        <w:tblStyle w:val="LightShading"/>
        <w:tblW w:w="0" w:type="auto"/>
        <w:tblLook w:val="06A0"/>
      </w:tblPr>
      <w:tblGrid>
        <w:gridCol w:w="9576"/>
      </w:tblGrid>
      <w:tr w:rsidR="002F5B39" w:rsidRPr="00540850" w:rsidTr="002F5B39">
        <w:trPr>
          <w:cnfStyle w:val="100000000000"/>
        </w:trPr>
        <w:tc>
          <w:tcPr>
            <w:cnfStyle w:val="001000000000"/>
            <w:tcW w:w="9576" w:type="dxa"/>
            <w:shd w:val="clear" w:color="auto" w:fill="D9D9D9" w:themeFill="background1" w:themeFillShade="D9"/>
          </w:tcPr>
          <w:p w:rsidR="002F5B39" w:rsidRPr="00540850" w:rsidRDefault="002F5B39" w:rsidP="002F5B39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Customers </w:t>
            </w:r>
          </w:p>
        </w:tc>
      </w:tr>
      <w:tr w:rsidR="002F5B39" w:rsidRPr="00E15709" w:rsidTr="002F5B39">
        <w:tc>
          <w:tcPr>
            <w:cnfStyle w:val="001000000000"/>
            <w:tcW w:w="9576" w:type="dxa"/>
          </w:tcPr>
          <w:p w:rsidR="002F5B39" w:rsidRPr="00E15709" w:rsidRDefault="002F5B39" w:rsidP="002F5B3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>
              <w:rPr>
                <w:b w:val="0"/>
              </w:rPr>
              <w:t xml:space="preserve">If you are adding a new customer to a program/service area plan, you </w:t>
            </w:r>
            <w:r w:rsidRPr="004745A6">
              <w:rPr>
                <w:u w:val="single"/>
              </w:rPr>
              <w:t xml:space="preserve">MUST </w:t>
            </w:r>
            <w:r>
              <w:rPr>
                <w:b w:val="0"/>
              </w:rPr>
              <w:t xml:space="preserve">select a “pre-defined customer” before saving your plan.  Failure to select a “pre-defined customer” first will result in a system hard stop, or a loss of your edits/updates. </w:t>
            </w:r>
          </w:p>
        </w:tc>
      </w:tr>
    </w:tbl>
    <w:p w:rsidR="002F5B39" w:rsidRDefault="002F5B39" w:rsidP="00511197">
      <w:pPr>
        <w:rPr>
          <w:rFonts w:asciiTheme="majorHAnsi" w:hAnsiTheme="majorHAnsi"/>
          <w:b/>
          <w:i/>
        </w:rPr>
      </w:pPr>
    </w:p>
    <w:tbl>
      <w:tblPr>
        <w:tblStyle w:val="LightShading"/>
        <w:tblW w:w="0" w:type="auto"/>
        <w:tblLook w:val="06A0"/>
      </w:tblPr>
      <w:tblGrid>
        <w:gridCol w:w="9576"/>
      </w:tblGrid>
      <w:tr w:rsidR="004745A6" w:rsidRPr="00540850" w:rsidTr="00752CB2">
        <w:trPr>
          <w:cnfStyle w:val="100000000000"/>
        </w:trPr>
        <w:tc>
          <w:tcPr>
            <w:cnfStyle w:val="001000000000"/>
            <w:tcW w:w="9576" w:type="dxa"/>
            <w:shd w:val="clear" w:color="auto" w:fill="D9D9D9" w:themeFill="background1" w:themeFillShade="D9"/>
          </w:tcPr>
          <w:p w:rsidR="004745A6" w:rsidRPr="00540850" w:rsidRDefault="004745A6" w:rsidP="00752CB2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Narratives</w:t>
            </w:r>
          </w:p>
        </w:tc>
      </w:tr>
      <w:tr w:rsidR="004745A6" w:rsidRPr="00E15709" w:rsidTr="00752CB2">
        <w:tc>
          <w:tcPr>
            <w:cnfStyle w:val="001000000000"/>
            <w:tcW w:w="9576" w:type="dxa"/>
          </w:tcPr>
          <w:p w:rsidR="004745A6" w:rsidRPr="004745A6" w:rsidRDefault="00B5761F" w:rsidP="004745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>
              <w:rPr>
                <w:b w:val="0"/>
              </w:rPr>
              <w:t>Please fix grammatical and spelling errors</w:t>
            </w:r>
            <w:r w:rsidR="004745A6" w:rsidRPr="004745A6">
              <w:rPr>
                <w:b w:val="0"/>
              </w:rPr>
              <w:t>.</w:t>
            </w:r>
          </w:p>
          <w:p w:rsidR="004745A6" w:rsidRPr="004745A6" w:rsidRDefault="004745A6" w:rsidP="004745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 w:rsidRPr="004745A6">
              <w:rPr>
                <w:b w:val="0"/>
              </w:rPr>
              <w:t xml:space="preserve">Reflect any </w:t>
            </w:r>
            <w:r w:rsidR="00752CB2" w:rsidRPr="004745A6">
              <w:rPr>
                <w:b w:val="0"/>
              </w:rPr>
              <w:t>reorganization</w:t>
            </w:r>
            <w:r w:rsidRPr="004745A6">
              <w:rPr>
                <w:b w:val="0"/>
              </w:rPr>
              <w:t xml:space="preserve"> that will go into effect pr</w:t>
            </w:r>
            <w:r w:rsidR="00790570">
              <w:rPr>
                <w:b w:val="0"/>
              </w:rPr>
              <w:t xml:space="preserve">ior to the end of the 2012-2014 </w:t>
            </w:r>
            <w:r w:rsidRPr="004745A6">
              <w:rPr>
                <w:b w:val="0"/>
              </w:rPr>
              <w:t>biennium</w:t>
            </w:r>
            <w:r>
              <w:rPr>
                <w:b w:val="0"/>
              </w:rPr>
              <w:t>.</w:t>
            </w:r>
          </w:p>
          <w:p w:rsidR="004745A6" w:rsidRPr="004745A6" w:rsidRDefault="004745A6" w:rsidP="004745A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 w:rsidRPr="004745A6">
              <w:rPr>
                <w:b w:val="0"/>
              </w:rPr>
              <w:t>Updates to reflect current/actual services and capabilities.</w:t>
            </w:r>
          </w:p>
        </w:tc>
      </w:tr>
    </w:tbl>
    <w:p w:rsidR="004745A6" w:rsidRDefault="004745A6" w:rsidP="00511197">
      <w:pPr>
        <w:rPr>
          <w:rFonts w:asciiTheme="majorHAnsi" w:hAnsiTheme="majorHAnsi"/>
          <w:b/>
          <w:i/>
        </w:rPr>
      </w:pPr>
    </w:p>
    <w:tbl>
      <w:tblPr>
        <w:tblStyle w:val="LightShading"/>
        <w:tblW w:w="0" w:type="auto"/>
        <w:tblLook w:val="06A0"/>
      </w:tblPr>
      <w:tblGrid>
        <w:gridCol w:w="9576"/>
      </w:tblGrid>
      <w:tr w:rsidR="00D33AC5" w:rsidRPr="00540850" w:rsidTr="00D33AC5">
        <w:trPr>
          <w:cnfStyle w:val="100000000000"/>
        </w:trPr>
        <w:tc>
          <w:tcPr>
            <w:cnfStyle w:val="001000000000"/>
            <w:tcW w:w="9576" w:type="dxa"/>
            <w:shd w:val="clear" w:color="auto" w:fill="D9D9D9" w:themeFill="background1" w:themeFillShade="D9"/>
          </w:tcPr>
          <w:p w:rsidR="00D33AC5" w:rsidRPr="00540850" w:rsidRDefault="00D11489" w:rsidP="00D33AC5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Executive Progress Reports (EPR</w:t>
            </w:r>
            <w:r w:rsidR="00D33AC5">
              <w:rPr>
                <w:rFonts w:asciiTheme="majorHAnsi" w:hAnsiTheme="majorHAnsi"/>
                <w:i/>
              </w:rPr>
              <w:t>s)- Remember your strategic plan “feeds” several fields in EPR</w:t>
            </w:r>
          </w:p>
        </w:tc>
      </w:tr>
      <w:tr w:rsidR="00D33AC5" w:rsidRPr="004745A6" w:rsidTr="00D33AC5">
        <w:tc>
          <w:tcPr>
            <w:cnfStyle w:val="001000000000"/>
            <w:tcW w:w="9576" w:type="dxa"/>
          </w:tcPr>
          <w:p w:rsidR="00D33AC5" w:rsidRPr="004745A6" w:rsidRDefault="00F03A2F" w:rsidP="00D33AC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>
              <w:rPr>
                <w:b w:val="0"/>
              </w:rPr>
              <w:t>Pay close attention to performance measures that you are populating in the “performance highlights” section of the EPR.  Make sure that targets and preferred trends are reasonable.</w:t>
            </w:r>
          </w:p>
          <w:p w:rsidR="00D33AC5" w:rsidRPr="00F03A2F" w:rsidRDefault="00F03A2F" w:rsidP="00DD433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>
              <w:rPr>
                <w:b w:val="0"/>
              </w:rPr>
              <w:t>Look at your customers to make sure they reflect your agenc</w:t>
            </w:r>
            <w:r w:rsidR="00DD4335">
              <w:rPr>
                <w:b w:val="0"/>
              </w:rPr>
              <w:t xml:space="preserve">y’s </w:t>
            </w:r>
            <w:r>
              <w:rPr>
                <w:b w:val="0"/>
              </w:rPr>
              <w:t>main customers</w:t>
            </w:r>
            <w:r w:rsidR="00D33AC5">
              <w:rPr>
                <w:b w:val="0"/>
              </w:rPr>
              <w:t>.</w:t>
            </w:r>
          </w:p>
        </w:tc>
      </w:tr>
    </w:tbl>
    <w:p w:rsidR="00D33AC5" w:rsidRDefault="00D33AC5" w:rsidP="00511197">
      <w:pPr>
        <w:rPr>
          <w:rFonts w:asciiTheme="majorHAnsi" w:hAnsiTheme="majorHAnsi"/>
          <w:b/>
          <w:i/>
        </w:rPr>
      </w:pPr>
    </w:p>
    <w:tbl>
      <w:tblPr>
        <w:tblStyle w:val="LightShading"/>
        <w:tblW w:w="0" w:type="auto"/>
        <w:tblLook w:val="06A0"/>
      </w:tblPr>
      <w:tblGrid>
        <w:gridCol w:w="9576"/>
      </w:tblGrid>
      <w:tr w:rsidR="004745A6" w:rsidRPr="00540850" w:rsidTr="00752CB2">
        <w:trPr>
          <w:cnfStyle w:val="100000000000"/>
        </w:trPr>
        <w:tc>
          <w:tcPr>
            <w:cnfStyle w:val="001000000000"/>
            <w:tcW w:w="9576" w:type="dxa"/>
            <w:shd w:val="clear" w:color="auto" w:fill="D9D9D9" w:themeFill="background1" w:themeFillShade="D9"/>
          </w:tcPr>
          <w:p w:rsidR="004745A6" w:rsidRPr="00540850" w:rsidRDefault="004745A6" w:rsidP="00752CB2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Other reminders</w:t>
            </w:r>
          </w:p>
        </w:tc>
      </w:tr>
      <w:tr w:rsidR="004745A6" w:rsidRPr="004745A6" w:rsidTr="00752CB2">
        <w:tc>
          <w:tcPr>
            <w:cnfStyle w:val="001000000000"/>
            <w:tcW w:w="9576" w:type="dxa"/>
          </w:tcPr>
          <w:p w:rsidR="004745A6" w:rsidRPr="004745A6" w:rsidRDefault="004745A6" w:rsidP="004745A6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4745A6">
              <w:rPr>
                <w:b w:val="0"/>
              </w:rPr>
              <w:t>Select the “2012-2014 Biennium.”</w:t>
            </w:r>
          </w:p>
          <w:p w:rsidR="004745A6" w:rsidRPr="004745A6" w:rsidRDefault="004745A6" w:rsidP="004745A6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4745A6">
              <w:rPr>
                <w:b w:val="0"/>
              </w:rPr>
              <w:t>Save your work!  The system times out after 20 minutes.  Save often!</w:t>
            </w:r>
          </w:p>
          <w:p w:rsidR="004745A6" w:rsidRDefault="004745A6" w:rsidP="004745A6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4745A6">
              <w:rPr>
                <w:b w:val="0"/>
              </w:rPr>
              <w:t>Use the “strategic plan status” screen to submit your changes to your DPB analyst.</w:t>
            </w:r>
          </w:p>
          <w:p w:rsidR="00790570" w:rsidRPr="004745A6" w:rsidRDefault="00790570" w:rsidP="004745A6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>Let your DPB analyst know when you have submitted your updates for review.</w:t>
            </w:r>
          </w:p>
          <w:p w:rsidR="004745A6" w:rsidRPr="00232CA6" w:rsidRDefault="004745A6" w:rsidP="00232CA6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4745A6">
              <w:rPr>
                <w:b w:val="0"/>
              </w:rPr>
              <w:t xml:space="preserve">Do not use the comments feature.  </w:t>
            </w:r>
          </w:p>
        </w:tc>
      </w:tr>
    </w:tbl>
    <w:p w:rsidR="00FD24A7" w:rsidRPr="00FD24A7" w:rsidRDefault="00FD24A7" w:rsidP="00FD24A7">
      <w:pPr>
        <w:rPr>
          <w:rFonts w:asciiTheme="majorHAnsi" w:hAnsiTheme="majorHAnsi"/>
          <w:b/>
        </w:rPr>
      </w:pPr>
    </w:p>
    <w:sectPr w:rsidR="00FD24A7" w:rsidRPr="00FD24A7" w:rsidSect="00D56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03D8D"/>
    <w:multiLevelType w:val="hybridMultilevel"/>
    <w:tmpl w:val="23B2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46315"/>
    <w:multiLevelType w:val="hybridMultilevel"/>
    <w:tmpl w:val="C2F8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88F"/>
    <w:rsid w:val="00001BFB"/>
    <w:rsid w:val="00002B6E"/>
    <w:rsid w:val="0000694C"/>
    <w:rsid w:val="0000759C"/>
    <w:rsid w:val="00010521"/>
    <w:rsid w:val="0001133F"/>
    <w:rsid w:val="0001397C"/>
    <w:rsid w:val="00026932"/>
    <w:rsid w:val="00033B3F"/>
    <w:rsid w:val="00035CF6"/>
    <w:rsid w:val="00035F67"/>
    <w:rsid w:val="000411D7"/>
    <w:rsid w:val="0004163C"/>
    <w:rsid w:val="00042B67"/>
    <w:rsid w:val="0004341A"/>
    <w:rsid w:val="0004484C"/>
    <w:rsid w:val="000455C9"/>
    <w:rsid w:val="000470D1"/>
    <w:rsid w:val="00050A0F"/>
    <w:rsid w:val="000522BA"/>
    <w:rsid w:val="00055854"/>
    <w:rsid w:val="000563C2"/>
    <w:rsid w:val="000570D1"/>
    <w:rsid w:val="00057A86"/>
    <w:rsid w:val="000625CB"/>
    <w:rsid w:val="00063810"/>
    <w:rsid w:val="00070139"/>
    <w:rsid w:val="000706D1"/>
    <w:rsid w:val="00072BDA"/>
    <w:rsid w:val="00073A4F"/>
    <w:rsid w:val="00073BE3"/>
    <w:rsid w:val="00074A00"/>
    <w:rsid w:val="00076B6C"/>
    <w:rsid w:val="00077137"/>
    <w:rsid w:val="00080927"/>
    <w:rsid w:val="00081A56"/>
    <w:rsid w:val="00085394"/>
    <w:rsid w:val="00085580"/>
    <w:rsid w:val="000876FF"/>
    <w:rsid w:val="000878FB"/>
    <w:rsid w:val="00091DCB"/>
    <w:rsid w:val="0009246A"/>
    <w:rsid w:val="00093662"/>
    <w:rsid w:val="00094271"/>
    <w:rsid w:val="00095471"/>
    <w:rsid w:val="000966D6"/>
    <w:rsid w:val="00096F3E"/>
    <w:rsid w:val="000A2D5E"/>
    <w:rsid w:val="000A2F94"/>
    <w:rsid w:val="000A30DD"/>
    <w:rsid w:val="000A4404"/>
    <w:rsid w:val="000A7AFF"/>
    <w:rsid w:val="000B03EC"/>
    <w:rsid w:val="000B27BD"/>
    <w:rsid w:val="000B32B3"/>
    <w:rsid w:val="000B3782"/>
    <w:rsid w:val="000B5CCC"/>
    <w:rsid w:val="000B6731"/>
    <w:rsid w:val="000B7435"/>
    <w:rsid w:val="000C0DF7"/>
    <w:rsid w:val="000C4AEA"/>
    <w:rsid w:val="000C4E18"/>
    <w:rsid w:val="000C51CF"/>
    <w:rsid w:val="000D0BE3"/>
    <w:rsid w:val="000D1D16"/>
    <w:rsid w:val="000D348F"/>
    <w:rsid w:val="000D5F74"/>
    <w:rsid w:val="000D5F79"/>
    <w:rsid w:val="000D6BFD"/>
    <w:rsid w:val="000D70B8"/>
    <w:rsid w:val="000D7156"/>
    <w:rsid w:val="000E0E76"/>
    <w:rsid w:val="000E1260"/>
    <w:rsid w:val="000E31E9"/>
    <w:rsid w:val="000E423B"/>
    <w:rsid w:val="000E4A4B"/>
    <w:rsid w:val="000F069A"/>
    <w:rsid w:val="000F11EA"/>
    <w:rsid w:val="000F4D08"/>
    <w:rsid w:val="000F702A"/>
    <w:rsid w:val="000F7FD0"/>
    <w:rsid w:val="001015C3"/>
    <w:rsid w:val="0010324E"/>
    <w:rsid w:val="00103568"/>
    <w:rsid w:val="00104022"/>
    <w:rsid w:val="00105098"/>
    <w:rsid w:val="001101C1"/>
    <w:rsid w:val="0011282F"/>
    <w:rsid w:val="00112B56"/>
    <w:rsid w:val="00113212"/>
    <w:rsid w:val="00113222"/>
    <w:rsid w:val="0011346E"/>
    <w:rsid w:val="001141FB"/>
    <w:rsid w:val="00114D5A"/>
    <w:rsid w:val="00116CC5"/>
    <w:rsid w:val="00125C97"/>
    <w:rsid w:val="00126A2A"/>
    <w:rsid w:val="0012751F"/>
    <w:rsid w:val="00127A65"/>
    <w:rsid w:val="00127D5A"/>
    <w:rsid w:val="00130314"/>
    <w:rsid w:val="0013603C"/>
    <w:rsid w:val="00141872"/>
    <w:rsid w:val="00142F5D"/>
    <w:rsid w:val="00144FFF"/>
    <w:rsid w:val="0015203F"/>
    <w:rsid w:val="0015239E"/>
    <w:rsid w:val="00153125"/>
    <w:rsid w:val="001534AD"/>
    <w:rsid w:val="00153F81"/>
    <w:rsid w:val="001545DB"/>
    <w:rsid w:val="00156040"/>
    <w:rsid w:val="001563EA"/>
    <w:rsid w:val="00157FF1"/>
    <w:rsid w:val="00161373"/>
    <w:rsid w:val="0016206A"/>
    <w:rsid w:val="001623AA"/>
    <w:rsid w:val="00163305"/>
    <w:rsid w:val="001657F2"/>
    <w:rsid w:val="00165992"/>
    <w:rsid w:val="00167F34"/>
    <w:rsid w:val="00172721"/>
    <w:rsid w:val="00173B76"/>
    <w:rsid w:val="001748A6"/>
    <w:rsid w:val="00175790"/>
    <w:rsid w:val="001775BC"/>
    <w:rsid w:val="001850A1"/>
    <w:rsid w:val="00187C2B"/>
    <w:rsid w:val="00187F15"/>
    <w:rsid w:val="0019011F"/>
    <w:rsid w:val="00190FF9"/>
    <w:rsid w:val="001921CB"/>
    <w:rsid w:val="00192F79"/>
    <w:rsid w:val="001943AC"/>
    <w:rsid w:val="00196E22"/>
    <w:rsid w:val="001A0855"/>
    <w:rsid w:val="001A5A39"/>
    <w:rsid w:val="001B156E"/>
    <w:rsid w:val="001B255A"/>
    <w:rsid w:val="001B3192"/>
    <w:rsid w:val="001B5A2F"/>
    <w:rsid w:val="001B7CBE"/>
    <w:rsid w:val="001C0B2E"/>
    <w:rsid w:val="001C1D7C"/>
    <w:rsid w:val="001C42B3"/>
    <w:rsid w:val="001C468F"/>
    <w:rsid w:val="001C728F"/>
    <w:rsid w:val="001C7CB1"/>
    <w:rsid w:val="001D1077"/>
    <w:rsid w:val="001D5EED"/>
    <w:rsid w:val="001E1911"/>
    <w:rsid w:val="001E21AF"/>
    <w:rsid w:val="001E3180"/>
    <w:rsid w:val="001E335B"/>
    <w:rsid w:val="001E4F94"/>
    <w:rsid w:val="001E659D"/>
    <w:rsid w:val="001E6F77"/>
    <w:rsid w:val="00200344"/>
    <w:rsid w:val="00200847"/>
    <w:rsid w:val="00200DBC"/>
    <w:rsid w:val="0020475E"/>
    <w:rsid w:val="00205FFA"/>
    <w:rsid w:val="0020610E"/>
    <w:rsid w:val="00207866"/>
    <w:rsid w:val="002078FF"/>
    <w:rsid w:val="00207B6F"/>
    <w:rsid w:val="00212EA0"/>
    <w:rsid w:val="00213D5C"/>
    <w:rsid w:val="00214FBF"/>
    <w:rsid w:val="0021792C"/>
    <w:rsid w:val="00221194"/>
    <w:rsid w:val="002217BE"/>
    <w:rsid w:val="0022446F"/>
    <w:rsid w:val="00224B38"/>
    <w:rsid w:val="00224F65"/>
    <w:rsid w:val="00225323"/>
    <w:rsid w:val="0023245C"/>
    <w:rsid w:val="00232CA6"/>
    <w:rsid w:val="00236DC8"/>
    <w:rsid w:val="00236F27"/>
    <w:rsid w:val="0023704B"/>
    <w:rsid w:val="0024500C"/>
    <w:rsid w:val="002457F6"/>
    <w:rsid w:val="00245822"/>
    <w:rsid w:val="00246033"/>
    <w:rsid w:val="00247BFE"/>
    <w:rsid w:val="00251BB5"/>
    <w:rsid w:val="002522CF"/>
    <w:rsid w:val="00252874"/>
    <w:rsid w:val="0025428B"/>
    <w:rsid w:val="00254F56"/>
    <w:rsid w:val="00264DD0"/>
    <w:rsid w:val="0026692C"/>
    <w:rsid w:val="00266B3B"/>
    <w:rsid w:val="00270DD4"/>
    <w:rsid w:val="00272338"/>
    <w:rsid w:val="00273294"/>
    <w:rsid w:val="00274370"/>
    <w:rsid w:val="002767B2"/>
    <w:rsid w:val="002767F4"/>
    <w:rsid w:val="0027721E"/>
    <w:rsid w:val="002809B6"/>
    <w:rsid w:val="00286C68"/>
    <w:rsid w:val="002875E1"/>
    <w:rsid w:val="00290F5B"/>
    <w:rsid w:val="00292F19"/>
    <w:rsid w:val="00295CB8"/>
    <w:rsid w:val="002A43D4"/>
    <w:rsid w:val="002A43D8"/>
    <w:rsid w:val="002A741C"/>
    <w:rsid w:val="002B0EB6"/>
    <w:rsid w:val="002B1E0E"/>
    <w:rsid w:val="002B20B8"/>
    <w:rsid w:val="002B2C78"/>
    <w:rsid w:val="002B49BF"/>
    <w:rsid w:val="002B7757"/>
    <w:rsid w:val="002C0F4F"/>
    <w:rsid w:val="002C10A1"/>
    <w:rsid w:val="002C1C63"/>
    <w:rsid w:val="002C2F10"/>
    <w:rsid w:val="002C4B5E"/>
    <w:rsid w:val="002C5621"/>
    <w:rsid w:val="002C5DD4"/>
    <w:rsid w:val="002C68EA"/>
    <w:rsid w:val="002C79B9"/>
    <w:rsid w:val="002D393E"/>
    <w:rsid w:val="002D74F1"/>
    <w:rsid w:val="002E1218"/>
    <w:rsid w:val="002E1D32"/>
    <w:rsid w:val="002E57A5"/>
    <w:rsid w:val="002E6128"/>
    <w:rsid w:val="002F1087"/>
    <w:rsid w:val="002F170E"/>
    <w:rsid w:val="002F229E"/>
    <w:rsid w:val="002F4AB3"/>
    <w:rsid w:val="002F5632"/>
    <w:rsid w:val="002F5B39"/>
    <w:rsid w:val="002F60ED"/>
    <w:rsid w:val="002F7300"/>
    <w:rsid w:val="002F7889"/>
    <w:rsid w:val="00301C63"/>
    <w:rsid w:val="00302CC3"/>
    <w:rsid w:val="003032D9"/>
    <w:rsid w:val="00303D6B"/>
    <w:rsid w:val="0030438A"/>
    <w:rsid w:val="00305E76"/>
    <w:rsid w:val="00306F8C"/>
    <w:rsid w:val="00311728"/>
    <w:rsid w:val="00313591"/>
    <w:rsid w:val="00314150"/>
    <w:rsid w:val="003150F2"/>
    <w:rsid w:val="00320588"/>
    <w:rsid w:val="003213D6"/>
    <w:rsid w:val="00325B01"/>
    <w:rsid w:val="00325CDD"/>
    <w:rsid w:val="00325D09"/>
    <w:rsid w:val="00327236"/>
    <w:rsid w:val="00331BE7"/>
    <w:rsid w:val="0033229B"/>
    <w:rsid w:val="003323AC"/>
    <w:rsid w:val="00333654"/>
    <w:rsid w:val="00334F08"/>
    <w:rsid w:val="00335AD4"/>
    <w:rsid w:val="00336B82"/>
    <w:rsid w:val="00337AA6"/>
    <w:rsid w:val="00343246"/>
    <w:rsid w:val="00345FE3"/>
    <w:rsid w:val="00350253"/>
    <w:rsid w:val="00350266"/>
    <w:rsid w:val="00350273"/>
    <w:rsid w:val="0035040D"/>
    <w:rsid w:val="00350846"/>
    <w:rsid w:val="00351AA6"/>
    <w:rsid w:val="0035369A"/>
    <w:rsid w:val="00354329"/>
    <w:rsid w:val="0035620D"/>
    <w:rsid w:val="00363744"/>
    <w:rsid w:val="00364266"/>
    <w:rsid w:val="00364F33"/>
    <w:rsid w:val="00365376"/>
    <w:rsid w:val="003665A7"/>
    <w:rsid w:val="0037471E"/>
    <w:rsid w:val="0037673B"/>
    <w:rsid w:val="0038023E"/>
    <w:rsid w:val="0038473D"/>
    <w:rsid w:val="00386AFD"/>
    <w:rsid w:val="00386B4E"/>
    <w:rsid w:val="00394787"/>
    <w:rsid w:val="003A2422"/>
    <w:rsid w:val="003A3925"/>
    <w:rsid w:val="003B075F"/>
    <w:rsid w:val="003B0CF0"/>
    <w:rsid w:val="003B3468"/>
    <w:rsid w:val="003B40B7"/>
    <w:rsid w:val="003B5850"/>
    <w:rsid w:val="003B65A4"/>
    <w:rsid w:val="003B7C96"/>
    <w:rsid w:val="003B7DB1"/>
    <w:rsid w:val="003C3929"/>
    <w:rsid w:val="003C4355"/>
    <w:rsid w:val="003C4A60"/>
    <w:rsid w:val="003D07FD"/>
    <w:rsid w:val="003D2580"/>
    <w:rsid w:val="003D30DF"/>
    <w:rsid w:val="003D3E72"/>
    <w:rsid w:val="003D57A2"/>
    <w:rsid w:val="003D659E"/>
    <w:rsid w:val="003D699F"/>
    <w:rsid w:val="003D7376"/>
    <w:rsid w:val="003E29F4"/>
    <w:rsid w:val="003E3EB5"/>
    <w:rsid w:val="003E544D"/>
    <w:rsid w:val="003F0C23"/>
    <w:rsid w:val="003F349D"/>
    <w:rsid w:val="003F3789"/>
    <w:rsid w:val="003F4996"/>
    <w:rsid w:val="003F5BAC"/>
    <w:rsid w:val="003F6086"/>
    <w:rsid w:val="003F738D"/>
    <w:rsid w:val="0040242E"/>
    <w:rsid w:val="0040600B"/>
    <w:rsid w:val="0040773E"/>
    <w:rsid w:val="00410209"/>
    <w:rsid w:val="00410BF3"/>
    <w:rsid w:val="004112DD"/>
    <w:rsid w:val="004132DF"/>
    <w:rsid w:val="00416299"/>
    <w:rsid w:val="004214E1"/>
    <w:rsid w:val="00424A20"/>
    <w:rsid w:val="00425066"/>
    <w:rsid w:val="0042672E"/>
    <w:rsid w:val="004269ED"/>
    <w:rsid w:val="0043199F"/>
    <w:rsid w:val="00431AB4"/>
    <w:rsid w:val="00432A0F"/>
    <w:rsid w:val="00435B74"/>
    <w:rsid w:val="0044329F"/>
    <w:rsid w:val="00443A2A"/>
    <w:rsid w:val="004445E8"/>
    <w:rsid w:val="00444BCF"/>
    <w:rsid w:val="004451E9"/>
    <w:rsid w:val="00446082"/>
    <w:rsid w:val="004505EB"/>
    <w:rsid w:val="00456208"/>
    <w:rsid w:val="0045643D"/>
    <w:rsid w:val="00457439"/>
    <w:rsid w:val="004632DD"/>
    <w:rsid w:val="00463EFA"/>
    <w:rsid w:val="00464623"/>
    <w:rsid w:val="00470143"/>
    <w:rsid w:val="0047113F"/>
    <w:rsid w:val="004745A6"/>
    <w:rsid w:val="0047638C"/>
    <w:rsid w:val="0048041C"/>
    <w:rsid w:val="00480521"/>
    <w:rsid w:val="00483A2E"/>
    <w:rsid w:val="004854C6"/>
    <w:rsid w:val="004859AD"/>
    <w:rsid w:val="00486244"/>
    <w:rsid w:val="00487E56"/>
    <w:rsid w:val="00496E22"/>
    <w:rsid w:val="004A0C90"/>
    <w:rsid w:val="004A248F"/>
    <w:rsid w:val="004A4CB5"/>
    <w:rsid w:val="004B19C1"/>
    <w:rsid w:val="004B1EC2"/>
    <w:rsid w:val="004B342D"/>
    <w:rsid w:val="004B5007"/>
    <w:rsid w:val="004C3B4C"/>
    <w:rsid w:val="004C4F0D"/>
    <w:rsid w:val="004C599D"/>
    <w:rsid w:val="004D6951"/>
    <w:rsid w:val="004E192B"/>
    <w:rsid w:val="004E21BB"/>
    <w:rsid w:val="004E3FC9"/>
    <w:rsid w:val="004F1AA7"/>
    <w:rsid w:val="004F20FE"/>
    <w:rsid w:val="004F33C2"/>
    <w:rsid w:val="004F55AA"/>
    <w:rsid w:val="004F77F5"/>
    <w:rsid w:val="00503C94"/>
    <w:rsid w:val="00505BF8"/>
    <w:rsid w:val="00507A05"/>
    <w:rsid w:val="00510173"/>
    <w:rsid w:val="00511197"/>
    <w:rsid w:val="00514FDC"/>
    <w:rsid w:val="005164E4"/>
    <w:rsid w:val="005170F1"/>
    <w:rsid w:val="0051776B"/>
    <w:rsid w:val="00520993"/>
    <w:rsid w:val="00520EAA"/>
    <w:rsid w:val="00521A83"/>
    <w:rsid w:val="00522003"/>
    <w:rsid w:val="00523645"/>
    <w:rsid w:val="00523D32"/>
    <w:rsid w:val="00523DE8"/>
    <w:rsid w:val="00526EBA"/>
    <w:rsid w:val="00530D3B"/>
    <w:rsid w:val="00534C32"/>
    <w:rsid w:val="005353D5"/>
    <w:rsid w:val="005357EB"/>
    <w:rsid w:val="00536BF4"/>
    <w:rsid w:val="00540850"/>
    <w:rsid w:val="00542953"/>
    <w:rsid w:val="00543080"/>
    <w:rsid w:val="00543615"/>
    <w:rsid w:val="005448EC"/>
    <w:rsid w:val="0054650D"/>
    <w:rsid w:val="00546AC9"/>
    <w:rsid w:val="00551F4F"/>
    <w:rsid w:val="00551F68"/>
    <w:rsid w:val="0055608C"/>
    <w:rsid w:val="005600EE"/>
    <w:rsid w:val="005632D6"/>
    <w:rsid w:val="00565743"/>
    <w:rsid w:val="00570509"/>
    <w:rsid w:val="00573D45"/>
    <w:rsid w:val="00574C84"/>
    <w:rsid w:val="005764E2"/>
    <w:rsid w:val="00576534"/>
    <w:rsid w:val="00576C83"/>
    <w:rsid w:val="005779A6"/>
    <w:rsid w:val="0058008E"/>
    <w:rsid w:val="00581B03"/>
    <w:rsid w:val="005840B3"/>
    <w:rsid w:val="00593A99"/>
    <w:rsid w:val="005951C4"/>
    <w:rsid w:val="0059757C"/>
    <w:rsid w:val="005A124F"/>
    <w:rsid w:val="005A2AF5"/>
    <w:rsid w:val="005A2ED3"/>
    <w:rsid w:val="005A3790"/>
    <w:rsid w:val="005A547C"/>
    <w:rsid w:val="005A5545"/>
    <w:rsid w:val="005B4DEB"/>
    <w:rsid w:val="005B67C6"/>
    <w:rsid w:val="005B7292"/>
    <w:rsid w:val="005B76BA"/>
    <w:rsid w:val="005B78FD"/>
    <w:rsid w:val="005B7919"/>
    <w:rsid w:val="005C2163"/>
    <w:rsid w:val="005C32C7"/>
    <w:rsid w:val="005D24A7"/>
    <w:rsid w:val="005D3392"/>
    <w:rsid w:val="005D363E"/>
    <w:rsid w:val="005D52B8"/>
    <w:rsid w:val="005D5CE4"/>
    <w:rsid w:val="005E3A65"/>
    <w:rsid w:val="005E500F"/>
    <w:rsid w:val="005E5F24"/>
    <w:rsid w:val="005E657D"/>
    <w:rsid w:val="005F403E"/>
    <w:rsid w:val="005F448E"/>
    <w:rsid w:val="005F4B49"/>
    <w:rsid w:val="005F515C"/>
    <w:rsid w:val="00600522"/>
    <w:rsid w:val="006015F4"/>
    <w:rsid w:val="00610B8B"/>
    <w:rsid w:val="0061259D"/>
    <w:rsid w:val="00612D6F"/>
    <w:rsid w:val="00613074"/>
    <w:rsid w:val="006136C2"/>
    <w:rsid w:val="006137F1"/>
    <w:rsid w:val="00617972"/>
    <w:rsid w:val="006223A7"/>
    <w:rsid w:val="0062456C"/>
    <w:rsid w:val="00625524"/>
    <w:rsid w:val="0063126A"/>
    <w:rsid w:val="00634FE8"/>
    <w:rsid w:val="00636414"/>
    <w:rsid w:val="006407DE"/>
    <w:rsid w:val="00640F2F"/>
    <w:rsid w:val="0064162A"/>
    <w:rsid w:val="006427DC"/>
    <w:rsid w:val="00643437"/>
    <w:rsid w:val="0064548A"/>
    <w:rsid w:val="00647113"/>
    <w:rsid w:val="00650851"/>
    <w:rsid w:val="00651AD7"/>
    <w:rsid w:val="00656635"/>
    <w:rsid w:val="00657FA4"/>
    <w:rsid w:val="00660130"/>
    <w:rsid w:val="00663B0E"/>
    <w:rsid w:val="00663B96"/>
    <w:rsid w:val="00667B26"/>
    <w:rsid w:val="00670BCA"/>
    <w:rsid w:val="006725AA"/>
    <w:rsid w:val="00674C30"/>
    <w:rsid w:val="00674DCB"/>
    <w:rsid w:val="00675F4A"/>
    <w:rsid w:val="006762DD"/>
    <w:rsid w:val="00676ED1"/>
    <w:rsid w:val="0068234C"/>
    <w:rsid w:val="00693D34"/>
    <w:rsid w:val="00697FED"/>
    <w:rsid w:val="006A0119"/>
    <w:rsid w:val="006A0F4E"/>
    <w:rsid w:val="006A134C"/>
    <w:rsid w:val="006A2919"/>
    <w:rsid w:val="006A3F3D"/>
    <w:rsid w:val="006A6FA1"/>
    <w:rsid w:val="006A794D"/>
    <w:rsid w:val="006B3F89"/>
    <w:rsid w:val="006B7A61"/>
    <w:rsid w:val="006C22C4"/>
    <w:rsid w:val="006C2DB4"/>
    <w:rsid w:val="006C2E4D"/>
    <w:rsid w:val="006C383B"/>
    <w:rsid w:val="006C5FD5"/>
    <w:rsid w:val="006D6560"/>
    <w:rsid w:val="006D6DE1"/>
    <w:rsid w:val="006D78F9"/>
    <w:rsid w:val="006E5165"/>
    <w:rsid w:val="006E5EF1"/>
    <w:rsid w:val="006E6F71"/>
    <w:rsid w:val="006E7B3B"/>
    <w:rsid w:val="006F3020"/>
    <w:rsid w:val="006F321E"/>
    <w:rsid w:val="006F6B88"/>
    <w:rsid w:val="00702605"/>
    <w:rsid w:val="00703F66"/>
    <w:rsid w:val="00711A5A"/>
    <w:rsid w:val="0071739E"/>
    <w:rsid w:val="00720C4A"/>
    <w:rsid w:val="00720EDB"/>
    <w:rsid w:val="00720FA1"/>
    <w:rsid w:val="0072118D"/>
    <w:rsid w:val="00721D64"/>
    <w:rsid w:val="00726F38"/>
    <w:rsid w:val="007322CA"/>
    <w:rsid w:val="007324EE"/>
    <w:rsid w:val="00733EBC"/>
    <w:rsid w:val="00734CA8"/>
    <w:rsid w:val="00740B4F"/>
    <w:rsid w:val="00743FDF"/>
    <w:rsid w:val="007440E7"/>
    <w:rsid w:val="00745D34"/>
    <w:rsid w:val="00747168"/>
    <w:rsid w:val="00750604"/>
    <w:rsid w:val="00751806"/>
    <w:rsid w:val="00751B7C"/>
    <w:rsid w:val="00752CB2"/>
    <w:rsid w:val="00753701"/>
    <w:rsid w:val="0075642C"/>
    <w:rsid w:val="00756578"/>
    <w:rsid w:val="00756845"/>
    <w:rsid w:val="00756A4A"/>
    <w:rsid w:val="00761818"/>
    <w:rsid w:val="007644C6"/>
    <w:rsid w:val="00764795"/>
    <w:rsid w:val="00765962"/>
    <w:rsid w:val="007678FF"/>
    <w:rsid w:val="007700B5"/>
    <w:rsid w:val="00773B1D"/>
    <w:rsid w:val="00776728"/>
    <w:rsid w:val="0078462E"/>
    <w:rsid w:val="007846DC"/>
    <w:rsid w:val="00784FFD"/>
    <w:rsid w:val="00790240"/>
    <w:rsid w:val="00790570"/>
    <w:rsid w:val="00793030"/>
    <w:rsid w:val="007944DB"/>
    <w:rsid w:val="007945BB"/>
    <w:rsid w:val="00794663"/>
    <w:rsid w:val="007A02B1"/>
    <w:rsid w:val="007A2EDC"/>
    <w:rsid w:val="007A4B8C"/>
    <w:rsid w:val="007A6670"/>
    <w:rsid w:val="007A6C4B"/>
    <w:rsid w:val="007A7CC7"/>
    <w:rsid w:val="007B0B47"/>
    <w:rsid w:val="007B0BA9"/>
    <w:rsid w:val="007B59CA"/>
    <w:rsid w:val="007B5A28"/>
    <w:rsid w:val="007B7451"/>
    <w:rsid w:val="007C01B3"/>
    <w:rsid w:val="007C0E8D"/>
    <w:rsid w:val="007C10C3"/>
    <w:rsid w:val="007C52CE"/>
    <w:rsid w:val="007C7CEE"/>
    <w:rsid w:val="007D1867"/>
    <w:rsid w:val="007D56A5"/>
    <w:rsid w:val="007D6491"/>
    <w:rsid w:val="007D6551"/>
    <w:rsid w:val="007D75F5"/>
    <w:rsid w:val="007E15EB"/>
    <w:rsid w:val="007E21ED"/>
    <w:rsid w:val="007E5A35"/>
    <w:rsid w:val="007F0751"/>
    <w:rsid w:val="007F0778"/>
    <w:rsid w:val="007F2453"/>
    <w:rsid w:val="008012ED"/>
    <w:rsid w:val="00801606"/>
    <w:rsid w:val="00803612"/>
    <w:rsid w:val="00813BEE"/>
    <w:rsid w:val="00814D4A"/>
    <w:rsid w:val="0082398B"/>
    <w:rsid w:val="0082750F"/>
    <w:rsid w:val="00831905"/>
    <w:rsid w:val="00836889"/>
    <w:rsid w:val="008401BA"/>
    <w:rsid w:val="00841C33"/>
    <w:rsid w:val="00843DEF"/>
    <w:rsid w:val="00843E39"/>
    <w:rsid w:val="00845FFC"/>
    <w:rsid w:val="00847560"/>
    <w:rsid w:val="00847CA7"/>
    <w:rsid w:val="00847F10"/>
    <w:rsid w:val="00850076"/>
    <w:rsid w:val="00852F63"/>
    <w:rsid w:val="008531D8"/>
    <w:rsid w:val="00853294"/>
    <w:rsid w:val="00856642"/>
    <w:rsid w:val="00863690"/>
    <w:rsid w:val="008637E2"/>
    <w:rsid w:val="008664D5"/>
    <w:rsid w:val="00867798"/>
    <w:rsid w:val="00867E2D"/>
    <w:rsid w:val="00870409"/>
    <w:rsid w:val="0087158D"/>
    <w:rsid w:val="00872235"/>
    <w:rsid w:val="00872FA4"/>
    <w:rsid w:val="008731FA"/>
    <w:rsid w:val="008809A7"/>
    <w:rsid w:val="00880DED"/>
    <w:rsid w:val="00881B0A"/>
    <w:rsid w:val="008856CF"/>
    <w:rsid w:val="00886F6E"/>
    <w:rsid w:val="00887456"/>
    <w:rsid w:val="0089044E"/>
    <w:rsid w:val="00890A29"/>
    <w:rsid w:val="0089482C"/>
    <w:rsid w:val="00896E0D"/>
    <w:rsid w:val="00897934"/>
    <w:rsid w:val="008A0573"/>
    <w:rsid w:val="008A0A2A"/>
    <w:rsid w:val="008A20F2"/>
    <w:rsid w:val="008A39FF"/>
    <w:rsid w:val="008A5713"/>
    <w:rsid w:val="008A584F"/>
    <w:rsid w:val="008B5E3F"/>
    <w:rsid w:val="008B6E17"/>
    <w:rsid w:val="008C0507"/>
    <w:rsid w:val="008C2195"/>
    <w:rsid w:val="008C28B7"/>
    <w:rsid w:val="008C2FE0"/>
    <w:rsid w:val="008C35E9"/>
    <w:rsid w:val="008C5D0B"/>
    <w:rsid w:val="008C78E8"/>
    <w:rsid w:val="008D2D83"/>
    <w:rsid w:val="008D461D"/>
    <w:rsid w:val="008D588C"/>
    <w:rsid w:val="008E0286"/>
    <w:rsid w:val="008E1DB7"/>
    <w:rsid w:val="008E39A6"/>
    <w:rsid w:val="008E4D8E"/>
    <w:rsid w:val="008E55C7"/>
    <w:rsid w:val="008E7333"/>
    <w:rsid w:val="008F135D"/>
    <w:rsid w:val="008F3023"/>
    <w:rsid w:val="008F4D78"/>
    <w:rsid w:val="008F53C7"/>
    <w:rsid w:val="008F60FB"/>
    <w:rsid w:val="008F7153"/>
    <w:rsid w:val="008F7C7C"/>
    <w:rsid w:val="008F7DF2"/>
    <w:rsid w:val="00900673"/>
    <w:rsid w:val="0090251F"/>
    <w:rsid w:val="009032BC"/>
    <w:rsid w:val="00904B48"/>
    <w:rsid w:val="00905690"/>
    <w:rsid w:val="009057A7"/>
    <w:rsid w:val="00912692"/>
    <w:rsid w:val="00912F16"/>
    <w:rsid w:val="00913A6B"/>
    <w:rsid w:val="00913D73"/>
    <w:rsid w:val="009146D8"/>
    <w:rsid w:val="00914C46"/>
    <w:rsid w:val="00922F3E"/>
    <w:rsid w:val="009230F6"/>
    <w:rsid w:val="00923752"/>
    <w:rsid w:val="009242F6"/>
    <w:rsid w:val="009245A8"/>
    <w:rsid w:val="00926840"/>
    <w:rsid w:val="009272FF"/>
    <w:rsid w:val="00930018"/>
    <w:rsid w:val="00930D29"/>
    <w:rsid w:val="0093138D"/>
    <w:rsid w:val="009336CF"/>
    <w:rsid w:val="009360B7"/>
    <w:rsid w:val="009370A5"/>
    <w:rsid w:val="00937FC8"/>
    <w:rsid w:val="00940BA0"/>
    <w:rsid w:val="00942345"/>
    <w:rsid w:val="009457BB"/>
    <w:rsid w:val="00950A2D"/>
    <w:rsid w:val="009538CB"/>
    <w:rsid w:val="009574C4"/>
    <w:rsid w:val="00957E7C"/>
    <w:rsid w:val="0096018C"/>
    <w:rsid w:val="009602D6"/>
    <w:rsid w:val="00961250"/>
    <w:rsid w:val="00963C73"/>
    <w:rsid w:val="00965A7E"/>
    <w:rsid w:val="00965FE9"/>
    <w:rsid w:val="009714DD"/>
    <w:rsid w:val="009714E0"/>
    <w:rsid w:val="00973BDB"/>
    <w:rsid w:val="00975159"/>
    <w:rsid w:val="00976467"/>
    <w:rsid w:val="0098251B"/>
    <w:rsid w:val="00984807"/>
    <w:rsid w:val="00985427"/>
    <w:rsid w:val="00985D87"/>
    <w:rsid w:val="009873AD"/>
    <w:rsid w:val="00991146"/>
    <w:rsid w:val="00993395"/>
    <w:rsid w:val="00993FED"/>
    <w:rsid w:val="009959A4"/>
    <w:rsid w:val="009A0015"/>
    <w:rsid w:val="009A5130"/>
    <w:rsid w:val="009A7EC2"/>
    <w:rsid w:val="009B358E"/>
    <w:rsid w:val="009B68DB"/>
    <w:rsid w:val="009B6D43"/>
    <w:rsid w:val="009C1733"/>
    <w:rsid w:val="009C2B4F"/>
    <w:rsid w:val="009C3899"/>
    <w:rsid w:val="009C4B6B"/>
    <w:rsid w:val="009C4B71"/>
    <w:rsid w:val="009C67F2"/>
    <w:rsid w:val="009C71F8"/>
    <w:rsid w:val="009C7AA8"/>
    <w:rsid w:val="009D019F"/>
    <w:rsid w:val="009D115B"/>
    <w:rsid w:val="009D2E72"/>
    <w:rsid w:val="009D3EBB"/>
    <w:rsid w:val="009D5AB3"/>
    <w:rsid w:val="009D5DDB"/>
    <w:rsid w:val="009D7722"/>
    <w:rsid w:val="009E1F70"/>
    <w:rsid w:val="009E3C4A"/>
    <w:rsid w:val="009E3DD0"/>
    <w:rsid w:val="009E5DC4"/>
    <w:rsid w:val="009E740E"/>
    <w:rsid w:val="009F168F"/>
    <w:rsid w:val="009F3547"/>
    <w:rsid w:val="009F4391"/>
    <w:rsid w:val="009F7941"/>
    <w:rsid w:val="00A0261B"/>
    <w:rsid w:val="00A03EA0"/>
    <w:rsid w:val="00A05EA6"/>
    <w:rsid w:val="00A100FF"/>
    <w:rsid w:val="00A1300D"/>
    <w:rsid w:val="00A13D39"/>
    <w:rsid w:val="00A14A27"/>
    <w:rsid w:val="00A15317"/>
    <w:rsid w:val="00A21E37"/>
    <w:rsid w:val="00A22BC8"/>
    <w:rsid w:val="00A244A1"/>
    <w:rsid w:val="00A25B97"/>
    <w:rsid w:val="00A26216"/>
    <w:rsid w:val="00A26909"/>
    <w:rsid w:val="00A30333"/>
    <w:rsid w:val="00A31013"/>
    <w:rsid w:val="00A31475"/>
    <w:rsid w:val="00A326B5"/>
    <w:rsid w:val="00A357FE"/>
    <w:rsid w:val="00A413E5"/>
    <w:rsid w:val="00A420C8"/>
    <w:rsid w:val="00A43FEB"/>
    <w:rsid w:val="00A44BC5"/>
    <w:rsid w:val="00A45883"/>
    <w:rsid w:val="00A45BC2"/>
    <w:rsid w:val="00A46BD5"/>
    <w:rsid w:val="00A50DB5"/>
    <w:rsid w:val="00A516E7"/>
    <w:rsid w:val="00A52E01"/>
    <w:rsid w:val="00A54399"/>
    <w:rsid w:val="00A549A7"/>
    <w:rsid w:val="00A566CD"/>
    <w:rsid w:val="00A633F1"/>
    <w:rsid w:val="00A63812"/>
    <w:rsid w:val="00A63AA0"/>
    <w:rsid w:val="00A659E4"/>
    <w:rsid w:val="00A65B8A"/>
    <w:rsid w:val="00A6632A"/>
    <w:rsid w:val="00A67B66"/>
    <w:rsid w:val="00A706ED"/>
    <w:rsid w:val="00A72E4E"/>
    <w:rsid w:val="00A7342C"/>
    <w:rsid w:val="00A75762"/>
    <w:rsid w:val="00A774FA"/>
    <w:rsid w:val="00A803EB"/>
    <w:rsid w:val="00A84214"/>
    <w:rsid w:val="00A87DB1"/>
    <w:rsid w:val="00A90747"/>
    <w:rsid w:val="00A9172E"/>
    <w:rsid w:val="00A9213A"/>
    <w:rsid w:val="00A94671"/>
    <w:rsid w:val="00A94FD2"/>
    <w:rsid w:val="00A9505E"/>
    <w:rsid w:val="00AA05E7"/>
    <w:rsid w:val="00AB0C2C"/>
    <w:rsid w:val="00AB1DC5"/>
    <w:rsid w:val="00AB3CEE"/>
    <w:rsid w:val="00AC0E17"/>
    <w:rsid w:val="00AD2978"/>
    <w:rsid w:val="00AD60B4"/>
    <w:rsid w:val="00AD75C7"/>
    <w:rsid w:val="00AE12DF"/>
    <w:rsid w:val="00AE744D"/>
    <w:rsid w:val="00AF218F"/>
    <w:rsid w:val="00AF4B20"/>
    <w:rsid w:val="00AF77FC"/>
    <w:rsid w:val="00B00B44"/>
    <w:rsid w:val="00B01127"/>
    <w:rsid w:val="00B07668"/>
    <w:rsid w:val="00B07DC7"/>
    <w:rsid w:val="00B1024A"/>
    <w:rsid w:val="00B109E2"/>
    <w:rsid w:val="00B124CF"/>
    <w:rsid w:val="00B1696A"/>
    <w:rsid w:val="00B17177"/>
    <w:rsid w:val="00B206B1"/>
    <w:rsid w:val="00B22FE9"/>
    <w:rsid w:val="00B259A5"/>
    <w:rsid w:val="00B31364"/>
    <w:rsid w:val="00B31F13"/>
    <w:rsid w:val="00B34D31"/>
    <w:rsid w:val="00B411C2"/>
    <w:rsid w:val="00B43AD9"/>
    <w:rsid w:val="00B53BD5"/>
    <w:rsid w:val="00B54061"/>
    <w:rsid w:val="00B5624C"/>
    <w:rsid w:val="00B5761F"/>
    <w:rsid w:val="00B61024"/>
    <w:rsid w:val="00B6142F"/>
    <w:rsid w:val="00B63EEF"/>
    <w:rsid w:val="00B667D7"/>
    <w:rsid w:val="00B7173F"/>
    <w:rsid w:val="00B80DB7"/>
    <w:rsid w:val="00B81615"/>
    <w:rsid w:val="00B8183C"/>
    <w:rsid w:val="00B844AD"/>
    <w:rsid w:val="00B8500A"/>
    <w:rsid w:val="00B86037"/>
    <w:rsid w:val="00B8654B"/>
    <w:rsid w:val="00B87F18"/>
    <w:rsid w:val="00B90DBE"/>
    <w:rsid w:val="00B91451"/>
    <w:rsid w:val="00B917B3"/>
    <w:rsid w:val="00B91C1C"/>
    <w:rsid w:val="00B925D9"/>
    <w:rsid w:val="00B97EE2"/>
    <w:rsid w:val="00BA1575"/>
    <w:rsid w:val="00BA4F0D"/>
    <w:rsid w:val="00BA64A0"/>
    <w:rsid w:val="00BA6DC2"/>
    <w:rsid w:val="00BA765F"/>
    <w:rsid w:val="00BA78CD"/>
    <w:rsid w:val="00BB0057"/>
    <w:rsid w:val="00BB0C1B"/>
    <w:rsid w:val="00BB1628"/>
    <w:rsid w:val="00BB1EBF"/>
    <w:rsid w:val="00BB2E91"/>
    <w:rsid w:val="00BB4B55"/>
    <w:rsid w:val="00BB51CD"/>
    <w:rsid w:val="00BB610B"/>
    <w:rsid w:val="00BB77C7"/>
    <w:rsid w:val="00BC0B6A"/>
    <w:rsid w:val="00BC457C"/>
    <w:rsid w:val="00BC4E73"/>
    <w:rsid w:val="00BC68E7"/>
    <w:rsid w:val="00BC7065"/>
    <w:rsid w:val="00BD024E"/>
    <w:rsid w:val="00BD1777"/>
    <w:rsid w:val="00BD2496"/>
    <w:rsid w:val="00BD324D"/>
    <w:rsid w:val="00BD3BE4"/>
    <w:rsid w:val="00BD51CB"/>
    <w:rsid w:val="00BE0C2A"/>
    <w:rsid w:val="00BE0D4A"/>
    <w:rsid w:val="00BE19E1"/>
    <w:rsid w:val="00BE4894"/>
    <w:rsid w:val="00BE5D3A"/>
    <w:rsid w:val="00BE60ED"/>
    <w:rsid w:val="00BE79DD"/>
    <w:rsid w:val="00BE7E0C"/>
    <w:rsid w:val="00BF0159"/>
    <w:rsid w:val="00BF20D3"/>
    <w:rsid w:val="00BF53F2"/>
    <w:rsid w:val="00C00810"/>
    <w:rsid w:val="00C04BEB"/>
    <w:rsid w:val="00C056EF"/>
    <w:rsid w:val="00C05972"/>
    <w:rsid w:val="00C15085"/>
    <w:rsid w:val="00C23F36"/>
    <w:rsid w:val="00C27E8F"/>
    <w:rsid w:val="00C30D24"/>
    <w:rsid w:val="00C3182A"/>
    <w:rsid w:val="00C31FA2"/>
    <w:rsid w:val="00C32853"/>
    <w:rsid w:val="00C32899"/>
    <w:rsid w:val="00C32FE2"/>
    <w:rsid w:val="00C33F21"/>
    <w:rsid w:val="00C3411B"/>
    <w:rsid w:val="00C350D4"/>
    <w:rsid w:val="00C355D6"/>
    <w:rsid w:val="00C40A7A"/>
    <w:rsid w:val="00C44EC9"/>
    <w:rsid w:val="00C47B57"/>
    <w:rsid w:val="00C52C3C"/>
    <w:rsid w:val="00C55D5B"/>
    <w:rsid w:val="00C55E8D"/>
    <w:rsid w:val="00C6185A"/>
    <w:rsid w:val="00C628D9"/>
    <w:rsid w:val="00C6430B"/>
    <w:rsid w:val="00C64465"/>
    <w:rsid w:val="00C66E91"/>
    <w:rsid w:val="00C67385"/>
    <w:rsid w:val="00C7193A"/>
    <w:rsid w:val="00C73E3A"/>
    <w:rsid w:val="00C751A9"/>
    <w:rsid w:val="00C755F0"/>
    <w:rsid w:val="00C7636D"/>
    <w:rsid w:val="00C763FF"/>
    <w:rsid w:val="00C8524E"/>
    <w:rsid w:val="00C85308"/>
    <w:rsid w:val="00C85E79"/>
    <w:rsid w:val="00C87C9E"/>
    <w:rsid w:val="00C906DB"/>
    <w:rsid w:val="00C9385C"/>
    <w:rsid w:val="00C938DF"/>
    <w:rsid w:val="00C97E97"/>
    <w:rsid w:val="00CA0C23"/>
    <w:rsid w:val="00CA0F29"/>
    <w:rsid w:val="00CA2307"/>
    <w:rsid w:val="00CA31A4"/>
    <w:rsid w:val="00CA40BA"/>
    <w:rsid w:val="00CA41D2"/>
    <w:rsid w:val="00CA4201"/>
    <w:rsid w:val="00CA468B"/>
    <w:rsid w:val="00CA61E2"/>
    <w:rsid w:val="00CA78B2"/>
    <w:rsid w:val="00CB1763"/>
    <w:rsid w:val="00CB179B"/>
    <w:rsid w:val="00CB5935"/>
    <w:rsid w:val="00CB658C"/>
    <w:rsid w:val="00CB7983"/>
    <w:rsid w:val="00CB7F87"/>
    <w:rsid w:val="00CC2F03"/>
    <w:rsid w:val="00CC45DF"/>
    <w:rsid w:val="00CC68A4"/>
    <w:rsid w:val="00CD0EEF"/>
    <w:rsid w:val="00CD1933"/>
    <w:rsid w:val="00CD2B2B"/>
    <w:rsid w:val="00CD37F3"/>
    <w:rsid w:val="00CD4C3C"/>
    <w:rsid w:val="00CD4D92"/>
    <w:rsid w:val="00CD78B9"/>
    <w:rsid w:val="00CE53E9"/>
    <w:rsid w:val="00CF03B4"/>
    <w:rsid w:val="00CF27DF"/>
    <w:rsid w:val="00CF4722"/>
    <w:rsid w:val="00CF5114"/>
    <w:rsid w:val="00CF658B"/>
    <w:rsid w:val="00CF6D8C"/>
    <w:rsid w:val="00D0326C"/>
    <w:rsid w:val="00D0398F"/>
    <w:rsid w:val="00D05ECA"/>
    <w:rsid w:val="00D0650C"/>
    <w:rsid w:val="00D07902"/>
    <w:rsid w:val="00D07AD6"/>
    <w:rsid w:val="00D100DE"/>
    <w:rsid w:val="00D11489"/>
    <w:rsid w:val="00D11E75"/>
    <w:rsid w:val="00D13876"/>
    <w:rsid w:val="00D1414A"/>
    <w:rsid w:val="00D159D4"/>
    <w:rsid w:val="00D2063A"/>
    <w:rsid w:val="00D21225"/>
    <w:rsid w:val="00D2649E"/>
    <w:rsid w:val="00D26829"/>
    <w:rsid w:val="00D27669"/>
    <w:rsid w:val="00D318A8"/>
    <w:rsid w:val="00D339C4"/>
    <w:rsid w:val="00D33AC5"/>
    <w:rsid w:val="00D34924"/>
    <w:rsid w:val="00D41070"/>
    <w:rsid w:val="00D41E96"/>
    <w:rsid w:val="00D42041"/>
    <w:rsid w:val="00D43E27"/>
    <w:rsid w:val="00D517C5"/>
    <w:rsid w:val="00D54071"/>
    <w:rsid w:val="00D56324"/>
    <w:rsid w:val="00D57139"/>
    <w:rsid w:val="00D57D30"/>
    <w:rsid w:val="00D64DB8"/>
    <w:rsid w:val="00D67A02"/>
    <w:rsid w:val="00D708B3"/>
    <w:rsid w:val="00D7289F"/>
    <w:rsid w:val="00D808C9"/>
    <w:rsid w:val="00D824B9"/>
    <w:rsid w:val="00D82C0C"/>
    <w:rsid w:val="00D851D8"/>
    <w:rsid w:val="00D900AA"/>
    <w:rsid w:val="00D91466"/>
    <w:rsid w:val="00D923EE"/>
    <w:rsid w:val="00D925D0"/>
    <w:rsid w:val="00D92C4F"/>
    <w:rsid w:val="00D93E6B"/>
    <w:rsid w:val="00D94167"/>
    <w:rsid w:val="00D96EFB"/>
    <w:rsid w:val="00DA0E2A"/>
    <w:rsid w:val="00DA16AA"/>
    <w:rsid w:val="00DA233A"/>
    <w:rsid w:val="00DA2828"/>
    <w:rsid w:val="00DA359B"/>
    <w:rsid w:val="00DA5906"/>
    <w:rsid w:val="00DA6402"/>
    <w:rsid w:val="00DB1346"/>
    <w:rsid w:val="00DB3683"/>
    <w:rsid w:val="00DB4BE2"/>
    <w:rsid w:val="00DB5ED7"/>
    <w:rsid w:val="00DC06E0"/>
    <w:rsid w:val="00DC088F"/>
    <w:rsid w:val="00DC27B6"/>
    <w:rsid w:val="00DC380D"/>
    <w:rsid w:val="00DC51CB"/>
    <w:rsid w:val="00DC78F0"/>
    <w:rsid w:val="00DD15D1"/>
    <w:rsid w:val="00DD23CE"/>
    <w:rsid w:val="00DD3875"/>
    <w:rsid w:val="00DD4335"/>
    <w:rsid w:val="00DD5461"/>
    <w:rsid w:val="00DE03A5"/>
    <w:rsid w:val="00DE1FF1"/>
    <w:rsid w:val="00DE5945"/>
    <w:rsid w:val="00DE605F"/>
    <w:rsid w:val="00DE6F04"/>
    <w:rsid w:val="00DF34C4"/>
    <w:rsid w:val="00DF4291"/>
    <w:rsid w:val="00DF506A"/>
    <w:rsid w:val="00E0074E"/>
    <w:rsid w:val="00E010A7"/>
    <w:rsid w:val="00E02008"/>
    <w:rsid w:val="00E0212C"/>
    <w:rsid w:val="00E029C7"/>
    <w:rsid w:val="00E04C9D"/>
    <w:rsid w:val="00E04F3B"/>
    <w:rsid w:val="00E06262"/>
    <w:rsid w:val="00E073E9"/>
    <w:rsid w:val="00E1020E"/>
    <w:rsid w:val="00E108FD"/>
    <w:rsid w:val="00E11EA5"/>
    <w:rsid w:val="00E14473"/>
    <w:rsid w:val="00E15709"/>
    <w:rsid w:val="00E15B2A"/>
    <w:rsid w:val="00E231C4"/>
    <w:rsid w:val="00E31AF4"/>
    <w:rsid w:val="00E32393"/>
    <w:rsid w:val="00E32FB7"/>
    <w:rsid w:val="00E3429B"/>
    <w:rsid w:val="00E379ED"/>
    <w:rsid w:val="00E429F0"/>
    <w:rsid w:val="00E44FF8"/>
    <w:rsid w:val="00E4650A"/>
    <w:rsid w:val="00E470D7"/>
    <w:rsid w:val="00E47276"/>
    <w:rsid w:val="00E47D7D"/>
    <w:rsid w:val="00E5663C"/>
    <w:rsid w:val="00E56D34"/>
    <w:rsid w:val="00E57377"/>
    <w:rsid w:val="00E63D20"/>
    <w:rsid w:val="00E63FE1"/>
    <w:rsid w:val="00E63FF9"/>
    <w:rsid w:val="00E71237"/>
    <w:rsid w:val="00E727B4"/>
    <w:rsid w:val="00E7294E"/>
    <w:rsid w:val="00E74058"/>
    <w:rsid w:val="00E8007E"/>
    <w:rsid w:val="00E84754"/>
    <w:rsid w:val="00E9042E"/>
    <w:rsid w:val="00E93E09"/>
    <w:rsid w:val="00E974E7"/>
    <w:rsid w:val="00EA0077"/>
    <w:rsid w:val="00EA4D99"/>
    <w:rsid w:val="00EA523F"/>
    <w:rsid w:val="00EA7E6F"/>
    <w:rsid w:val="00EB0376"/>
    <w:rsid w:val="00EB1792"/>
    <w:rsid w:val="00EB2291"/>
    <w:rsid w:val="00EB3432"/>
    <w:rsid w:val="00EB63B2"/>
    <w:rsid w:val="00EC161E"/>
    <w:rsid w:val="00EC1644"/>
    <w:rsid w:val="00EC2F70"/>
    <w:rsid w:val="00EC5AD9"/>
    <w:rsid w:val="00ED1609"/>
    <w:rsid w:val="00ED3578"/>
    <w:rsid w:val="00ED6714"/>
    <w:rsid w:val="00EE0246"/>
    <w:rsid w:val="00EE1450"/>
    <w:rsid w:val="00EE2BBF"/>
    <w:rsid w:val="00EE2D01"/>
    <w:rsid w:val="00EF0AB8"/>
    <w:rsid w:val="00EF0C00"/>
    <w:rsid w:val="00EF1E38"/>
    <w:rsid w:val="00EF2ABD"/>
    <w:rsid w:val="00EF4A31"/>
    <w:rsid w:val="00EF6045"/>
    <w:rsid w:val="00EF6EA7"/>
    <w:rsid w:val="00F0049A"/>
    <w:rsid w:val="00F03A2F"/>
    <w:rsid w:val="00F03C60"/>
    <w:rsid w:val="00F108D6"/>
    <w:rsid w:val="00F13763"/>
    <w:rsid w:val="00F16E91"/>
    <w:rsid w:val="00F22ACC"/>
    <w:rsid w:val="00F24468"/>
    <w:rsid w:val="00F26933"/>
    <w:rsid w:val="00F26A1D"/>
    <w:rsid w:val="00F33A35"/>
    <w:rsid w:val="00F351F8"/>
    <w:rsid w:val="00F35A11"/>
    <w:rsid w:val="00F4289E"/>
    <w:rsid w:val="00F43078"/>
    <w:rsid w:val="00F4361B"/>
    <w:rsid w:val="00F44EF5"/>
    <w:rsid w:val="00F47621"/>
    <w:rsid w:val="00F53568"/>
    <w:rsid w:val="00F53AEC"/>
    <w:rsid w:val="00F6018D"/>
    <w:rsid w:val="00F60602"/>
    <w:rsid w:val="00F61227"/>
    <w:rsid w:val="00F64A88"/>
    <w:rsid w:val="00F66642"/>
    <w:rsid w:val="00F66F0B"/>
    <w:rsid w:val="00F73FF5"/>
    <w:rsid w:val="00F76072"/>
    <w:rsid w:val="00F768B8"/>
    <w:rsid w:val="00F76E5E"/>
    <w:rsid w:val="00F83AF3"/>
    <w:rsid w:val="00F85BCA"/>
    <w:rsid w:val="00F90BF7"/>
    <w:rsid w:val="00F90C5D"/>
    <w:rsid w:val="00F95861"/>
    <w:rsid w:val="00FA04F2"/>
    <w:rsid w:val="00FA0590"/>
    <w:rsid w:val="00FA0CC8"/>
    <w:rsid w:val="00FA3881"/>
    <w:rsid w:val="00FA6426"/>
    <w:rsid w:val="00FA6618"/>
    <w:rsid w:val="00FB10DA"/>
    <w:rsid w:val="00FB3C0F"/>
    <w:rsid w:val="00FB4187"/>
    <w:rsid w:val="00FB542A"/>
    <w:rsid w:val="00FB672F"/>
    <w:rsid w:val="00FB6FA9"/>
    <w:rsid w:val="00FC19E2"/>
    <w:rsid w:val="00FC4C26"/>
    <w:rsid w:val="00FC7123"/>
    <w:rsid w:val="00FC7331"/>
    <w:rsid w:val="00FC7A84"/>
    <w:rsid w:val="00FD20C8"/>
    <w:rsid w:val="00FD24A7"/>
    <w:rsid w:val="00FD554A"/>
    <w:rsid w:val="00FD5C99"/>
    <w:rsid w:val="00FE1714"/>
    <w:rsid w:val="00FE3130"/>
    <w:rsid w:val="00FE40FA"/>
    <w:rsid w:val="00FF0C02"/>
    <w:rsid w:val="00FF7333"/>
    <w:rsid w:val="00FF7548"/>
    <w:rsid w:val="00FF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4FBF"/>
    <w:pPr>
      <w:ind w:left="720"/>
      <w:contextualSpacing/>
    </w:pPr>
  </w:style>
  <w:style w:type="table" w:styleId="LightShading">
    <w:name w:val="Light Shading"/>
    <w:basedOn w:val="TableNormal"/>
    <w:uiPriority w:val="60"/>
    <w:rsid w:val="005408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3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A1B31-F4F1-4C83-BCA2-D9038552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Berry</dc:creator>
  <cp:keywords/>
  <dc:description/>
  <cp:lastModifiedBy>Christy Berry</cp:lastModifiedBy>
  <cp:revision>25</cp:revision>
  <cp:lastPrinted>2013-04-17T13:05:00Z</cp:lastPrinted>
  <dcterms:created xsi:type="dcterms:W3CDTF">2013-04-15T18:25:00Z</dcterms:created>
  <dcterms:modified xsi:type="dcterms:W3CDTF">2013-04-26T18:32:00Z</dcterms:modified>
</cp:coreProperties>
</file>